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107846" w:displacedByCustomXml="next"/>
    <w:bookmarkStart w:id="1" w:name="_Toc19023741" w:displacedByCustomXml="next"/>
    <w:sdt>
      <w:sdtPr>
        <w:alias w:val="Title"/>
        <w:tag w:val=""/>
        <w:id w:val="-2134860153"/>
        <w:placeholder>
          <w:docPart w:val="283C6A5853A54830868E2A339CA428E6"/>
        </w:placeholder>
        <w:dataBinding w:prefixMappings="xmlns:ns0='http://purl.org/dc/elements/1.1/' xmlns:ns1='http://schemas.openxmlformats.org/package/2006/metadata/core-properties' " w:xpath="/ns1:coreProperties[1]/ns0:title[1]" w:storeItemID="{6C3C8BC8-F283-45AE-878A-BAB7291924A1}"/>
        <w:text/>
      </w:sdtPr>
      <w:sdtEndPr/>
      <w:sdtContent>
        <w:p w14:paraId="39B76ABF" w14:textId="77777777" w:rsidR="00EC00A2" w:rsidRDefault="005B70B2" w:rsidP="00EC00A2">
          <w:pPr>
            <w:pStyle w:val="Title"/>
          </w:pPr>
          <w:r>
            <w:t>Australian Energy Employment Report</w:t>
          </w:r>
        </w:p>
      </w:sdtContent>
    </w:sdt>
    <w:p w14:paraId="439ECE08" w14:textId="12F7A637" w:rsidR="00147760" w:rsidRPr="007D2E46" w:rsidRDefault="005B70B2" w:rsidP="007D2E46">
      <w:pPr>
        <w:pStyle w:val="Heading1"/>
        <w:rPr>
          <w:sz w:val="40"/>
          <w:szCs w:val="40"/>
        </w:rPr>
      </w:pPr>
      <w:r w:rsidRPr="009E5A38">
        <w:rPr>
          <w:sz w:val="40"/>
          <w:szCs w:val="40"/>
        </w:rPr>
        <w:t>How to guide</w:t>
      </w:r>
    </w:p>
    <w:p w14:paraId="6BC951F9" w14:textId="56DE500E" w:rsidR="00495C81" w:rsidRPr="00EB3E16" w:rsidRDefault="00495C81" w:rsidP="00EB3E16">
      <w:pPr>
        <w:pStyle w:val="Heading3"/>
      </w:pPr>
      <w:r w:rsidRPr="00EB3E16">
        <w:t>Acknowledgement of Country</w:t>
      </w:r>
    </w:p>
    <w:p w14:paraId="5E535761" w14:textId="255AA48F" w:rsidR="00495C81" w:rsidRPr="00495C81" w:rsidRDefault="00495C81" w:rsidP="00495C81">
      <w:pPr>
        <w:spacing w:after="0"/>
      </w:pPr>
      <w:r w:rsidRPr="00495C81">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9B1EEBF" w14:textId="77777777" w:rsidR="00EB3E16" w:rsidRDefault="00EB3E16" w:rsidP="007D2E46">
      <w:pPr>
        <w:pStyle w:val="Heading3"/>
        <w:rPr>
          <w:sz w:val="40"/>
        </w:rPr>
      </w:pPr>
    </w:p>
    <w:p w14:paraId="39B76AC1" w14:textId="2D3A1E87" w:rsidR="004B4254" w:rsidRPr="00EB3E16" w:rsidRDefault="0044426B" w:rsidP="00EB3E16">
      <w:pPr>
        <w:pStyle w:val="Heading3"/>
      </w:pPr>
      <w:r w:rsidRPr="00EB3E16">
        <w:t>Background</w:t>
      </w:r>
    </w:p>
    <w:p w14:paraId="3F958183" w14:textId="40D81745" w:rsidR="004E06D6" w:rsidRDefault="00D534D6" w:rsidP="004E06D6">
      <w:pPr>
        <w:spacing w:line="240" w:lineRule="auto"/>
      </w:pPr>
      <w:r>
        <w:t xml:space="preserve">Australia </w:t>
      </w:r>
      <w:r w:rsidR="004E06D6">
        <w:t xml:space="preserve">lacks data to understand energy sector jobs, </w:t>
      </w:r>
      <w:r>
        <w:t xml:space="preserve">including those working in other related sectors, </w:t>
      </w:r>
      <w:r w:rsidR="004E06D6">
        <w:t xml:space="preserve">the people in those jobs and their skills, and forecast how these jobs are changing. </w:t>
      </w:r>
    </w:p>
    <w:p w14:paraId="7ACC53BB" w14:textId="77777777" w:rsidR="004E06D6" w:rsidRDefault="004E06D6" w:rsidP="004E06D6">
      <w:pPr>
        <w:spacing w:line="240" w:lineRule="auto"/>
      </w:pPr>
      <w:r>
        <w:t xml:space="preserve">The Department of Climate Change, Energy, the Environment and Water is addressing this gap through the delivery of the Australian Energy Employment Report (AEER), a national survey of organisations in the Australian energy sector. </w:t>
      </w:r>
    </w:p>
    <w:p w14:paraId="21B4A8C2" w14:textId="26B53AA1" w:rsidR="00FD0E3D" w:rsidRDefault="00FF2D72" w:rsidP="004E06D6">
      <w:pPr>
        <w:spacing w:line="240" w:lineRule="auto"/>
      </w:pPr>
      <w:r>
        <w:t>You have received this document to support</w:t>
      </w:r>
      <w:r w:rsidR="004E06D6">
        <w:t xml:space="preserve"> you to complete</w:t>
      </w:r>
      <w:r>
        <w:t xml:space="preserve"> the consultation survey. </w:t>
      </w:r>
    </w:p>
    <w:p w14:paraId="6EE63A8B" w14:textId="0DDB2AB9" w:rsidR="00FD0E3D" w:rsidRPr="00EB3E16" w:rsidRDefault="00FD0E3D" w:rsidP="00EB3E16">
      <w:pPr>
        <w:pStyle w:val="Heading3"/>
        <w:rPr>
          <w:sz w:val="40"/>
        </w:rPr>
      </w:pPr>
      <w:r w:rsidRPr="00EB3E16">
        <w:rPr>
          <w:sz w:val="40"/>
        </w:rPr>
        <w:t>What are the benefits o</w:t>
      </w:r>
      <w:r w:rsidR="00EB3E16" w:rsidRPr="00EB3E16">
        <w:rPr>
          <w:sz w:val="40"/>
        </w:rPr>
        <w:t>f</w:t>
      </w:r>
      <w:r w:rsidRPr="00EB3E16">
        <w:rPr>
          <w:sz w:val="40"/>
        </w:rPr>
        <w:t xml:space="preserve"> completing the AEER Survey</w:t>
      </w:r>
      <w:r w:rsidR="004E06D6" w:rsidRPr="00EB3E16">
        <w:rPr>
          <w:sz w:val="40"/>
        </w:rPr>
        <w:t>?</w:t>
      </w:r>
    </w:p>
    <w:p w14:paraId="39B76AC2" w14:textId="26AB630B" w:rsidR="00FF2D72" w:rsidRDefault="00046161" w:rsidP="00FF2D72">
      <w:pPr>
        <w:spacing w:line="240" w:lineRule="auto"/>
      </w:pPr>
      <w:r>
        <w:t xml:space="preserve">The results of the survey will be used to develop the AEER. </w:t>
      </w:r>
      <w:r w:rsidR="00FF2D72">
        <w:t>Your responses will:</w:t>
      </w:r>
    </w:p>
    <w:p w14:paraId="39B76AC3" w14:textId="77777777" w:rsidR="00FF2D72" w:rsidRPr="00296E74" w:rsidRDefault="00FF2D72">
      <w:pPr>
        <w:pStyle w:val="ListParagraph"/>
        <w:numPr>
          <w:ilvl w:val="0"/>
          <w:numId w:val="17"/>
        </w:numPr>
        <w:ind w:left="709" w:hanging="357"/>
        <w:contextualSpacing w:val="0"/>
      </w:pPr>
      <w:r w:rsidRPr="008664B9">
        <w:t xml:space="preserve">Give </w:t>
      </w:r>
      <w:r>
        <w:t xml:space="preserve">federal, state and local </w:t>
      </w:r>
      <w:r w:rsidRPr="008664B9">
        <w:t xml:space="preserve">governments </w:t>
      </w:r>
      <w:r>
        <w:t>insights</w:t>
      </w:r>
      <w:r w:rsidRPr="008664B9">
        <w:t xml:space="preserve"> to </w:t>
      </w:r>
      <w:r>
        <w:t xml:space="preserve">assist in the </w:t>
      </w:r>
      <w:r w:rsidRPr="008664B9">
        <w:t>develop</w:t>
      </w:r>
      <w:r>
        <w:t>ment of</w:t>
      </w:r>
      <w:r w:rsidRPr="008664B9">
        <w:t xml:space="preserve"> policies regarding jobs</w:t>
      </w:r>
      <w:r>
        <w:t>, skills development and training opportunities</w:t>
      </w:r>
      <w:r w:rsidRPr="008664B9">
        <w:t xml:space="preserve"> in the energy sector. </w:t>
      </w:r>
    </w:p>
    <w:p w14:paraId="39B76AC4" w14:textId="7DFB9D67" w:rsidR="00FF2D72" w:rsidRPr="00FF2D72" w:rsidRDefault="00FF2D72">
      <w:pPr>
        <w:pStyle w:val="ListParagraph"/>
        <w:numPr>
          <w:ilvl w:val="0"/>
          <w:numId w:val="17"/>
        </w:numPr>
        <w:ind w:left="709" w:hanging="357"/>
        <w:contextualSpacing w:val="0"/>
      </w:pPr>
      <w:r w:rsidRPr="00296E74">
        <w:t>Support</w:t>
      </w:r>
      <w:r>
        <w:t xml:space="preserve"> new</w:t>
      </w:r>
      <w:r w:rsidRPr="008664B9">
        <w:t xml:space="preserve"> government initiatives such as ensuring </w:t>
      </w:r>
      <w:r w:rsidRPr="00882806">
        <w:t>a transition pathway fo</w:t>
      </w:r>
      <w:r>
        <w:t>r fossil fuel industry workers and provide a snapshot of workforce diversity to s</w:t>
      </w:r>
      <w:r w:rsidRPr="00296E74">
        <w:t xml:space="preserve">upport </w:t>
      </w:r>
      <w:r>
        <w:t xml:space="preserve">equality </w:t>
      </w:r>
      <w:r w:rsidRPr="00296E74">
        <w:t>initiatives in the energy sector</w:t>
      </w:r>
      <w:r>
        <w:t>, such as</w:t>
      </w:r>
      <w:r w:rsidRPr="00296E74">
        <w:t xml:space="preserve"> Equal by 30.</w:t>
      </w:r>
      <w:r w:rsidR="00D534D6">
        <w:t xml:space="preserve"> </w:t>
      </w:r>
    </w:p>
    <w:p w14:paraId="41380EFF" w14:textId="55946654" w:rsidR="00D534D6" w:rsidRDefault="00FF2D72" w:rsidP="00D534D6">
      <w:pPr>
        <w:pStyle w:val="ListParagraph"/>
        <w:numPr>
          <w:ilvl w:val="0"/>
          <w:numId w:val="17"/>
        </w:numPr>
        <w:ind w:left="709" w:hanging="357"/>
        <w:contextualSpacing w:val="0"/>
      </w:pPr>
      <w:r w:rsidRPr="008664B9">
        <w:t xml:space="preserve">Allow </w:t>
      </w:r>
      <w:r w:rsidR="004E06D6">
        <w:t>organisations</w:t>
      </w:r>
      <w:r w:rsidRPr="008664B9">
        <w:t xml:space="preserve"> in the energy sector to improve industry-led workforce planning, support business opportunities and di</w:t>
      </w:r>
      <w:r>
        <w:t>rect industry investment</w:t>
      </w:r>
      <w:r w:rsidRPr="008664B9">
        <w:t>.</w:t>
      </w:r>
    </w:p>
    <w:p w14:paraId="26CBBBD1" w14:textId="7D3C3F93" w:rsidR="00046161" w:rsidRPr="000B5351" w:rsidRDefault="00046161" w:rsidP="00046161">
      <w:r w:rsidRPr="00046161">
        <w:t>The d</w:t>
      </w:r>
      <w:r>
        <w:t>epartment</w:t>
      </w:r>
      <w:r w:rsidRPr="00046161">
        <w:t xml:space="preserve"> will use learnings from this </w:t>
      </w:r>
      <w:r>
        <w:t>survey</w:t>
      </w:r>
      <w:r w:rsidRPr="00046161">
        <w:t xml:space="preserve"> to develop a business case to build on the capability of the AEER and broaden its </w:t>
      </w:r>
      <w:r>
        <w:t>data collection in future years. The department is</w:t>
      </w:r>
      <w:r w:rsidRPr="00046161">
        <w:t xml:space="preserve"> aiming for a </w:t>
      </w:r>
      <w:r w:rsidR="007E411D" w:rsidRPr="00046161">
        <w:t>full-scale</w:t>
      </w:r>
      <w:r w:rsidRPr="00046161">
        <w:t xml:space="preserve"> survey to determine sector size and allow projections.</w:t>
      </w:r>
    </w:p>
    <w:bookmarkEnd w:id="1"/>
    <w:bookmarkEnd w:id="0"/>
    <w:p w14:paraId="7DB22438" w14:textId="77777777" w:rsidR="00EB3E16" w:rsidRDefault="00EB3E16" w:rsidP="00F8403C">
      <w:pPr>
        <w:pStyle w:val="Heading2"/>
      </w:pPr>
    </w:p>
    <w:p w14:paraId="4BE57F83" w14:textId="2C02ACF6" w:rsidR="00806FA9" w:rsidRPr="00EB3E16" w:rsidRDefault="00806FA9" w:rsidP="00EB3E16">
      <w:pPr>
        <w:pStyle w:val="Heading3"/>
        <w:rPr>
          <w:sz w:val="40"/>
        </w:rPr>
      </w:pPr>
      <w:r w:rsidRPr="00EB3E16">
        <w:rPr>
          <w:sz w:val="40"/>
        </w:rPr>
        <w:t>What types of organisations should complete this survey?</w:t>
      </w:r>
    </w:p>
    <w:p w14:paraId="11B08B05" w14:textId="3685A6CD" w:rsidR="00806FA9" w:rsidRDefault="00806FA9" w:rsidP="00806FA9">
      <w:r>
        <w:t xml:space="preserve">The survey is targeting businesses/organisations in, or directly involved with, the Australian energy sector. </w:t>
      </w:r>
    </w:p>
    <w:p w14:paraId="3C7D5BBA" w14:textId="3E53A088" w:rsidR="00540B45" w:rsidRPr="00540B45" w:rsidRDefault="00540B45" w:rsidP="00540B45">
      <w:pPr>
        <w:pStyle w:val="Heading3"/>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We define businesses/organisations in the energy sector as being directly involved with all activities relating to:</w:t>
      </w:r>
    </w:p>
    <w:p w14:paraId="721C0B48" w14:textId="29425674" w:rsidR="00540B45" w:rsidRPr="00540B45" w:rsidRDefault="00540B45" w:rsidP="00540B45">
      <w:pPr>
        <w:pStyle w:val="Heading3"/>
        <w:numPr>
          <w:ilvl w:val="0"/>
          <w:numId w:val="27"/>
        </w:numPr>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Electricity (including generation, transmission, distribution, storage</w:t>
      </w:r>
      <w:r>
        <w:rPr>
          <w:rFonts w:asciiTheme="minorHAnsi" w:eastAsiaTheme="minorHAnsi" w:hAnsiTheme="minorHAnsi" w:cstheme="minorBidi"/>
          <w:color w:val="auto"/>
          <w:sz w:val="22"/>
          <w:szCs w:val="22"/>
        </w:rPr>
        <w:t>,</w:t>
      </w:r>
      <w:r w:rsidRPr="00540B45">
        <w:rPr>
          <w:rFonts w:asciiTheme="minorHAnsi" w:eastAsiaTheme="minorHAnsi" w:hAnsiTheme="minorHAnsi" w:cstheme="minorBidi"/>
          <w:color w:val="auto"/>
          <w:sz w:val="22"/>
          <w:szCs w:val="22"/>
        </w:rPr>
        <w:t xml:space="preserve"> and market operation)</w:t>
      </w:r>
    </w:p>
    <w:p w14:paraId="7AD62C10" w14:textId="75B23B55" w:rsidR="00540B45" w:rsidRPr="00540B45" w:rsidRDefault="00540B45" w:rsidP="00540B45">
      <w:pPr>
        <w:pStyle w:val="Heading3"/>
        <w:numPr>
          <w:ilvl w:val="0"/>
          <w:numId w:val="27"/>
        </w:numPr>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Energy retailing (including electricity and gas</w:t>
      </w:r>
      <w:r>
        <w:rPr>
          <w:rFonts w:asciiTheme="minorHAnsi" w:eastAsiaTheme="minorHAnsi" w:hAnsiTheme="minorHAnsi" w:cstheme="minorBidi"/>
          <w:color w:val="auto"/>
          <w:sz w:val="22"/>
          <w:szCs w:val="22"/>
        </w:rPr>
        <w:t>)</w:t>
      </w:r>
    </w:p>
    <w:p w14:paraId="1DBBA1C9" w14:textId="739E8F53" w:rsidR="00540B45" w:rsidRPr="00540B45" w:rsidRDefault="00540B45" w:rsidP="00540B45">
      <w:pPr>
        <w:pStyle w:val="Heading3"/>
        <w:numPr>
          <w:ilvl w:val="0"/>
          <w:numId w:val="27"/>
        </w:numPr>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Energy supply services (including trades providing general electrical, plumbing/gas fitting, HVAC, refrigeration, rooftop solar and batteries etc. to buildings)</w:t>
      </w:r>
    </w:p>
    <w:p w14:paraId="54A08EEF" w14:textId="70FB59D5" w:rsidR="00540B45" w:rsidRPr="00540B45" w:rsidRDefault="00540B45" w:rsidP="00540B45">
      <w:pPr>
        <w:pStyle w:val="Heading3"/>
        <w:numPr>
          <w:ilvl w:val="0"/>
          <w:numId w:val="27"/>
        </w:numPr>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Fuels (including extraction, processing, production, distribution</w:t>
      </w:r>
      <w:r>
        <w:rPr>
          <w:rFonts w:asciiTheme="minorHAnsi" w:eastAsiaTheme="minorHAnsi" w:hAnsiTheme="minorHAnsi" w:cstheme="minorBidi"/>
          <w:color w:val="auto"/>
          <w:sz w:val="22"/>
          <w:szCs w:val="22"/>
        </w:rPr>
        <w:t>,</w:t>
      </w:r>
      <w:r w:rsidRPr="00540B45">
        <w:rPr>
          <w:rFonts w:asciiTheme="minorHAnsi" w:eastAsiaTheme="minorHAnsi" w:hAnsiTheme="minorHAnsi" w:cstheme="minorBidi"/>
          <w:color w:val="auto"/>
          <w:sz w:val="22"/>
          <w:szCs w:val="22"/>
        </w:rPr>
        <w:t xml:space="preserve"> and market operation)</w:t>
      </w:r>
    </w:p>
    <w:p w14:paraId="22F55FEC" w14:textId="4515BC71" w:rsidR="00540B45" w:rsidRPr="00540B45" w:rsidRDefault="00540B45" w:rsidP="00540B45">
      <w:pPr>
        <w:pStyle w:val="Heading3"/>
        <w:numPr>
          <w:ilvl w:val="0"/>
          <w:numId w:val="27"/>
        </w:numPr>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Managing energy use (including products and services relating to energy efficiency, energy management and demand management/flexibility)</w:t>
      </w:r>
    </w:p>
    <w:p w14:paraId="14D05F55" w14:textId="519B2EEE" w:rsidR="00540B45" w:rsidRDefault="00540B45" w:rsidP="00540B45">
      <w:pPr>
        <w:pStyle w:val="Heading3"/>
        <w:numPr>
          <w:ilvl w:val="0"/>
          <w:numId w:val="27"/>
        </w:numPr>
        <w:rPr>
          <w:rFonts w:asciiTheme="minorHAnsi" w:eastAsiaTheme="minorHAnsi" w:hAnsiTheme="minorHAnsi" w:cstheme="minorBidi"/>
          <w:color w:val="auto"/>
          <w:sz w:val="22"/>
          <w:szCs w:val="22"/>
        </w:rPr>
      </w:pPr>
      <w:r w:rsidRPr="00540B45">
        <w:rPr>
          <w:rFonts w:asciiTheme="minorHAnsi" w:eastAsiaTheme="minorHAnsi" w:hAnsiTheme="minorHAnsi" w:cstheme="minorBidi"/>
          <w:color w:val="auto"/>
          <w:sz w:val="22"/>
          <w:szCs w:val="22"/>
        </w:rPr>
        <w:t>Support services (including advocacy, consulting, education and training, financial, legal and other professional services, policy, ICT, Research and development)</w:t>
      </w:r>
    </w:p>
    <w:p w14:paraId="49642E76" w14:textId="77777777" w:rsidR="00540B45" w:rsidRPr="00540B45" w:rsidRDefault="00540B45" w:rsidP="00540B45"/>
    <w:p w14:paraId="284A9338" w14:textId="1B5130F8" w:rsidR="00CF2983" w:rsidRDefault="00CF2983" w:rsidP="00540B45">
      <w:pPr>
        <w:pStyle w:val="Heading3"/>
      </w:pPr>
      <w:r>
        <w:t>What about supporting organisations and staff?</w:t>
      </w:r>
    </w:p>
    <w:p w14:paraId="06AF6789" w14:textId="2BFB011C" w:rsidR="00CF2983" w:rsidRPr="00CF2983" w:rsidRDefault="00CF2983" w:rsidP="00CF2983">
      <w:r>
        <w:t>The intent of the AEER is to capture all energy employment in Australia. While this includes</w:t>
      </w:r>
      <w:r w:rsidR="00540B45">
        <w:t xml:space="preserve"> organisations directly involved in </w:t>
      </w:r>
      <w:r>
        <w:t>energy</w:t>
      </w:r>
      <w:r w:rsidR="00540B45">
        <w:t xml:space="preserve"> (e.g. electricity generators),</w:t>
      </w:r>
      <w:r>
        <w:t xml:space="preserve"> it also includes the supporting </w:t>
      </w:r>
      <w:r w:rsidR="00540B45">
        <w:t>organisations</w:t>
      </w:r>
      <w:r>
        <w:t xml:space="preserve"> required by the sector</w:t>
      </w:r>
      <w:r w:rsidR="00540B45">
        <w:t xml:space="preserve"> (e.g. l</w:t>
      </w:r>
      <w:r>
        <w:t>egal, financial, administratio</w:t>
      </w:r>
      <w:r w:rsidR="00540B45">
        <w:t>n and education)</w:t>
      </w:r>
      <w:r>
        <w:t xml:space="preserve">. </w:t>
      </w:r>
    </w:p>
    <w:p w14:paraId="0B0041DB" w14:textId="710E7F7C" w:rsidR="00156C49" w:rsidRPr="00EB3E16" w:rsidRDefault="00156C49" w:rsidP="00EB3E16">
      <w:pPr>
        <w:pStyle w:val="Heading3"/>
        <w:rPr>
          <w:sz w:val="40"/>
        </w:rPr>
      </w:pPr>
      <w:r w:rsidRPr="00EB3E16">
        <w:rPr>
          <w:sz w:val="40"/>
        </w:rPr>
        <w:t>Who should complete the survey?</w:t>
      </w:r>
    </w:p>
    <w:p w14:paraId="1A9FDE03" w14:textId="7D75DA06" w:rsidR="004E06D6" w:rsidRDefault="00896938" w:rsidP="00896938">
      <w:r>
        <w:t xml:space="preserve">The survey asks questions about the business/organisation as a whole. </w:t>
      </w:r>
      <w:r w:rsidR="007E0D78">
        <w:t>Therefore</w:t>
      </w:r>
      <w:r w:rsidR="00EB3E16">
        <w:t>,</w:t>
      </w:r>
      <w:r w:rsidR="007E0D78">
        <w:t xml:space="preserve"> the </w:t>
      </w:r>
      <w:r>
        <w:t>surve</w:t>
      </w:r>
      <w:r w:rsidR="007E0D78">
        <w:t>y should</w:t>
      </w:r>
      <w:r w:rsidR="00F64E4D">
        <w:t xml:space="preserve"> be completed by someone with </w:t>
      </w:r>
      <w:r w:rsidR="00FD0E3D">
        <w:t xml:space="preserve">sound </w:t>
      </w:r>
      <w:r w:rsidR="007E0D78">
        <w:t>knowledge of the organisation</w:t>
      </w:r>
      <w:r w:rsidR="00F64E4D">
        <w:t>, policies and workforce</w:t>
      </w:r>
      <w:r w:rsidR="004E06D6">
        <w:t>, for example:</w:t>
      </w:r>
    </w:p>
    <w:p w14:paraId="1A9C2103" w14:textId="77777777" w:rsidR="004E06D6" w:rsidRDefault="004E06D6" w:rsidP="004E06D6">
      <w:pPr>
        <w:pStyle w:val="ListParagraph"/>
        <w:numPr>
          <w:ilvl w:val="0"/>
          <w:numId w:val="23"/>
        </w:numPr>
      </w:pPr>
      <w:r>
        <w:t>Directors</w:t>
      </w:r>
    </w:p>
    <w:p w14:paraId="7A41F4FF" w14:textId="77777777" w:rsidR="004E06D6" w:rsidRDefault="004E06D6" w:rsidP="004E06D6">
      <w:pPr>
        <w:pStyle w:val="ListParagraph"/>
        <w:numPr>
          <w:ilvl w:val="0"/>
          <w:numId w:val="23"/>
        </w:numPr>
      </w:pPr>
      <w:r>
        <w:t>O</w:t>
      </w:r>
      <w:r w:rsidR="00896938">
        <w:t>wners</w:t>
      </w:r>
    </w:p>
    <w:p w14:paraId="03A06447" w14:textId="77777777" w:rsidR="004E06D6" w:rsidRDefault="004E06D6" w:rsidP="004E06D6">
      <w:pPr>
        <w:pStyle w:val="ListParagraph"/>
        <w:numPr>
          <w:ilvl w:val="0"/>
          <w:numId w:val="23"/>
        </w:numPr>
      </w:pPr>
      <w:r>
        <w:t>S</w:t>
      </w:r>
      <w:r w:rsidR="007E0D78">
        <w:t>enior managers</w:t>
      </w:r>
    </w:p>
    <w:p w14:paraId="4129F7F2" w14:textId="16FC6951" w:rsidR="00896938" w:rsidRDefault="004E06D6" w:rsidP="004E06D6">
      <w:pPr>
        <w:pStyle w:val="ListParagraph"/>
        <w:numPr>
          <w:ilvl w:val="0"/>
          <w:numId w:val="23"/>
        </w:numPr>
      </w:pPr>
      <w:r>
        <w:t>HR managers</w:t>
      </w:r>
    </w:p>
    <w:p w14:paraId="08E8787C" w14:textId="77777777" w:rsidR="00540B45" w:rsidRDefault="00540B45">
      <w:pPr>
        <w:rPr>
          <w:rFonts w:asciiTheme="majorHAnsi" w:eastAsiaTheme="majorEastAsia" w:hAnsiTheme="majorHAnsi" w:cstheme="majorBidi"/>
          <w:color w:val="7D3404" w:themeColor="accent3" w:themeTint="E6"/>
          <w:sz w:val="40"/>
          <w:szCs w:val="48"/>
        </w:rPr>
      </w:pPr>
      <w:r>
        <w:br w:type="page"/>
      </w:r>
    </w:p>
    <w:p w14:paraId="50D77605" w14:textId="45D148F3" w:rsidR="00156C49" w:rsidRPr="00EB3E16" w:rsidRDefault="00156C49" w:rsidP="00EB3E16">
      <w:pPr>
        <w:pStyle w:val="Heading3"/>
        <w:rPr>
          <w:sz w:val="40"/>
        </w:rPr>
      </w:pPr>
      <w:r w:rsidRPr="00EB3E16">
        <w:rPr>
          <w:sz w:val="40"/>
        </w:rPr>
        <w:lastRenderedPageBreak/>
        <w:t>What do you need to complete the survey?</w:t>
      </w:r>
    </w:p>
    <w:p w14:paraId="0D725E25" w14:textId="23AA4BBC" w:rsidR="005C641F" w:rsidRDefault="00421E7F" w:rsidP="00FD0E3D">
      <w:r>
        <w:t xml:space="preserve">To complete the survey please ensure you have </w:t>
      </w:r>
      <w:r w:rsidR="005C641F">
        <w:t>i</w:t>
      </w:r>
      <w:r w:rsidR="004A1721">
        <w:t>nf</w:t>
      </w:r>
      <w:r w:rsidR="00806FA9">
        <w:t>ormation on</w:t>
      </w:r>
      <w:r w:rsidR="005C641F">
        <w:t>:</w:t>
      </w:r>
      <w:r w:rsidR="00236B9F">
        <w:t xml:space="preserve"> </w:t>
      </w:r>
    </w:p>
    <w:p w14:paraId="215391D0" w14:textId="77777777" w:rsidR="00F8403C" w:rsidRDefault="00F8403C" w:rsidP="00B40ADD">
      <w:pPr>
        <w:pStyle w:val="ListParagraph"/>
        <w:numPr>
          <w:ilvl w:val="0"/>
          <w:numId w:val="20"/>
        </w:numPr>
        <w:ind w:left="360"/>
      </w:pPr>
      <w:r>
        <w:t>Business/</w:t>
      </w:r>
      <w:r w:rsidR="00081D0E">
        <w:t xml:space="preserve">organisation’s </w:t>
      </w:r>
      <w:r>
        <w:t xml:space="preserve">information including: </w:t>
      </w:r>
    </w:p>
    <w:p w14:paraId="013738AF" w14:textId="7A3D3599" w:rsidR="00F8403C" w:rsidRDefault="00F8403C" w:rsidP="00F8403C">
      <w:pPr>
        <w:pStyle w:val="ListParagraph"/>
        <w:numPr>
          <w:ilvl w:val="1"/>
          <w:numId w:val="20"/>
        </w:numPr>
      </w:pPr>
      <w:r>
        <w:t>Business name and trading name (if applicable)</w:t>
      </w:r>
    </w:p>
    <w:p w14:paraId="1FB5E889" w14:textId="5028CE74" w:rsidR="00F8403C" w:rsidRDefault="00F8403C" w:rsidP="00F8403C">
      <w:pPr>
        <w:pStyle w:val="ListParagraph"/>
        <w:numPr>
          <w:ilvl w:val="1"/>
          <w:numId w:val="20"/>
        </w:numPr>
      </w:pPr>
      <w:r>
        <w:t>Australian Business Number (ABN)</w:t>
      </w:r>
    </w:p>
    <w:p w14:paraId="48850817" w14:textId="6FE018A0" w:rsidR="00F8403C" w:rsidRDefault="00F8403C" w:rsidP="00F8403C">
      <w:pPr>
        <w:pStyle w:val="ListParagraph"/>
        <w:numPr>
          <w:ilvl w:val="1"/>
          <w:numId w:val="20"/>
        </w:numPr>
      </w:pPr>
      <w:r>
        <w:t>High level breakdown of business locations</w:t>
      </w:r>
    </w:p>
    <w:p w14:paraId="5635EDE5" w14:textId="3D43389D" w:rsidR="004A1721" w:rsidRDefault="00F8403C" w:rsidP="00F8403C">
      <w:pPr>
        <w:pStyle w:val="ListParagraph"/>
        <w:numPr>
          <w:ilvl w:val="1"/>
          <w:numId w:val="20"/>
        </w:numPr>
      </w:pPr>
      <w:r>
        <w:t>Relation to the</w:t>
      </w:r>
      <w:r w:rsidR="00081D0E">
        <w:t xml:space="preserve"> sector and </w:t>
      </w:r>
      <w:r>
        <w:t xml:space="preserve">key </w:t>
      </w:r>
      <w:r w:rsidR="00806FA9">
        <w:t xml:space="preserve">activities </w:t>
      </w:r>
    </w:p>
    <w:p w14:paraId="7128ACA5" w14:textId="233C3734" w:rsidR="00BB6693" w:rsidRDefault="00F8403C" w:rsidP="00B40ADD">
      <w:pPr>
        <w:pStyle w:val="ListParagraph"/>
        <w:numPr>
          <w:ilvl w:val="0"/>
          <w:numId w:val="22"/>
        </w:numPr>
        <w:ind w:left="360"/>
      </w:pPr>
      <w:r>
        <w:t xml:space="preserve">HR information including employee number breakdowns </w:t>
      </w:r>
      <w:r w:rsidR="00A5693D">
        <w:t xml:space="preserve">(where collected) </w:t>
      </w:r>
      <w:r>
        <w:t>across</w:t>
      </w:r>
      <w:r w:rsidR="00A5693D">
        <w:t xml:space="preserve">: </w:t>
      </w:r>
    </w:p>
    <w:p w14:paraId="0A544739" w14:textId="5FA5D621" w:rsidR="00F8403C" w:rsidRDefault="00F8403C" w:rsidP="00F8403C">
      <w:pPr>
        <w:pStyle w:val="ListParagraph"/>
        <w:numPr>
          <w:ilvl w:val="1"/>
          <w:numId w:val="22"/>
        </w:numPr>
        <w:ind w:left="1080"/>
      </w:pPr>
      <w:r>
        <w:t>Full-time, part time and casual</w:t>
      </w:r>
    </w:p>
    <w:p w14:paraId="21B93206" w14:textId="77777777" w:rsidR="00F8403C" w:rsidRDefault="00F8403C" w:rsidP="00B40ADD">
      <w:pPr>
        <w:pStyle w:val="ListParagraph"/>
        <w:numPr>
          <w:ilvl w:val="1"/>
          <w:numId w:val="22"/>
        </w:numPr>
        <w:ind w:left="1080"/>
      </w:pPr>
      <w:r>
        <w:t xml:space="preserve">Employee roles (e.g. by cost centre) </w:t>
      </w:r>
    </w:p>
    <w:p w14:paraId="01186870" w14:textId="3E12C0F9" w:rsidR="00F8403C" w:rsidRDefault="00F8403C" w:rsidP="00B40ADD">
      <w:pPr>
        <w:pStyle w:val="ListParagraph"/>
        <w:numPr>
          <w:ilvl w:val="1"/>
          <w:numId w:val="22"/>
        </w:numPr>
        <w:ind w:left="1080"/>
      </w:pPr>
      <w:r>
        <w:t>Employee indicative level (e.g. management, professional, trade)</w:t>
      </w:r>
    </w:p>
    <w:p w14:paraId="7081F216" w14:textId="1936ED61" w:rsidR="00F8403C" w:rsidRDefault="00F8403C" w:rsidP="00B40ADD">
      <w:pPr>
        <w:pStyle w:val="ListParagraph"/>
        <w:numPr>
          <w:ilvl w:val="1"/>
          <w:numId w:val="22"/>
        </w:numPr>
        <w:ind w:left="1080"/>
      </w:pPr>
      <w:r>
        <w:t>Apprentices/Trainees</w:t>
      </w:r>
    </w:p>
    <w:p w14:paraId="6B3D66A5" w14:textId="56B68C10" w:rsidR="00FC68F8" w:rsidRDefault="00FC68F8" w:rsidP="00B40ADD">
      <w:pPr>
        <w:pStyle w:val="ListParagraph"/>
        <w:numPr>
          <w:ilvl w:val="1"/>
          <w:numId w:val="22"/>
        </w:numPr>
        <w:ind w:left="1080"/>
      </w:pPr>
      <w:r>
        <w:t>Diversity information (where collected):</w:t>
      </w:r>
    </w:p>
    <w:p w14:paraId="4605F2E9" w14:textId="31A8C8E5" w:rsidR="00BB6693" w:rsidRDefault="00BB6693" w:rsidP="00FC68F8">
      <w:pPr>
        <w:pStyle w:val="ListParagraph"/>
        <w:numPr>
          <w:ilvl w:val="2"/>
          <w:numId w:val="22"/>
        </w:numPr>
      </w:pPr>
      <w:r>
        <w:t>Gender</w:t>
      </w:r>
    </w:p>
    <w:p w14:paraId="5A862ABF" w14:textId="77777777" w:rsidR="00BB6693" w:rsidRDefault="00BB6693" w:rsidP="00FC68F8">
      <w:pPr>
        <w:pStyle w:val="ListParagraph"/>
        <w:numPr>
          <w:ilvl w:val="2"/>
          <w:numId w:val="22"/>
        </w:numPr>
      </w:pPr>
      <w:r>
        <w:t>Age brackets</w:t>
      </w:r>
    </w:p>
    <w:p w14:paraId="43F861A9" w14:textId="67255303" w:rsidR="00421E7F" w:rsidRDefault="00F8403C" w:rsidP="00FC68F8">
      <w:pPr>
        <w:pStyle w:val="ListParagraph"/>
        <w:numPr>
          <w:ilvl w:val="2"/>
          <w:numId w:val="22"/>
        </w:numPr>
      </w:pPr>
      <w:r>
        <w:t>Indigenous employees</w:t>
      </w:r>
    </w:p>
    <w:p w14:paraId="1DEE8F21" w14:textId="5CBB0F9E" w:rsidR="00FC68F8" w:rsidRDefault="00FC68F8" w:rsidP="00FC68F8">
      <w:pPr>
        <w:pStyle w:val="ListParagraph"/>
        <w:numPr>
          <w:ilvl w:val="2"/>
          <w:numId w:val="22"/>
        </w:numPr>
      </w:pPr>
      <w:r>
        <w:t xml:space="preserve">Culturally and linguistically diverse (CaLD) </w:t>
      </w:r>
      <w:r w:rsidR="00191028">
        <w:t>e</w:t>
      </w:r>
      <w:r>
        <w:t xml:space="preserve">mployees </w:t>
      </w:r>
    </w:p>
    <w:p w14:paraId="21346EDF" w14:textId="09F60461" w:rsidR="005C641F" w:rsidRDefault="00F8403C" w:rsidP="00FC68F8">
      <w:pPr>
        <w:pStyle w:val="ListParagraph"/>
        <w:numPr>
          <w:ilvl w:val="2"/>
          <w:numId w:val="22"/>
        </w:numPr>
      </w:pPr>
      <w:r>
        <w:t>Employees with a disability</w:t>
      </w:r>
    </w:p>
    <w:p w14:paraId="0F59E30C" w14:textId="2527A26C" w:rsidR="00081D0E" w:rsidRDefault="00081D0E" w:rsidP="00B40ADD">
      <w:pPr>
        <w:pStyle w:val="ListParagraph"/>
        <w:numPr>
          <w:ilvl w:val="0"/>
          <w:numId w:val="22"/>
        </w:numPr>
        <w:ind w:left="360"/>
      </w:pPr>
      <w:r>
        <w:t>General understanding of o</w:t>
      </w:r>
      <w:r w:rsidR="004A15A5">
        <w:t>rganisation</w:t>
      </w:r>
      <w:r>
        <w:t>al HR policies, including:</w:t>
      </w:r>
    </w:p>
    <w:p w14:paraId="5E163A2C" w14:textId="7C8ED01D" w:rsidR="00081D0E" w:rsidRDefault="00421E7F" w:rsidP="00B40ADD">
      <w:pPr>
        <w:pStyle w:val="ListParagraph"/>
        <w:numPr>
          <w:ilvl w:val="1"/>
          <w:numId w:val="22"/>
        </w:numPr>
        <w:ind w:left="1080"/>
      </w:pPr>
      <w:r>
        <w:t>recruitment</w:t>
      </w:r>
    </w:p>
    <w:p w14:paraId="78740A12" w14:textId="0DD2E24C" w:rsidR="00081D0E" w:rsidRDefault="00421E7F" w:rsidP="00B40ADD">
      <w:pPr>
        <w:pStyle w:val="ListParagraph"/>
        <w:numPr>
          <w:ilvl w:val="1"/>
          <w:numId w:val="22"/>
        </w:numPr>
        <w:ind w:left="1080"/>
      </w:pPr>
      <w:r>
        <w:t>retention</w:t>
      </w:r>
    </w:p>
    <w:p w14:paraId="699646A1" w14:textId="6389E7BE" w:rsidR="00156C49" w:rsidRDefault="00421E7F" w:rsidP="00B40ADD">
      <w:pPr>
        <w:pStyle w:val="ListParagraph"/>
        <w:numPr>
          <w:ilvl w:val="1"/>
          <w:numId w:val="22"/>
        </w:numPr>
        <w:ind w:left="1080"/>
      </w:pPr>
      <w:r>
        <w:t>learning and development</w:t>
      </w:r>
    </w:p>
    <w:p w14:paraId="18F6A99F" w14:textId="6530623C" w:rsidR="00081D0E" w:rsidRDefault="00081D0E" w:rsidP="00B40ADD">
      <w:pPr>
        <w:pStyle w:val="ListParagraph"/>
        <w:numPr>
          <w:ilvl w:val="1"/>
          <w:numId w:val="22"/>
        </w:numPr>
        <w:ind w:left="1080"/>
      </w:pPr>
      <w:r>
        <w:t>diversity and affirmative actions</w:t>
      </w:r>
    </w:p>
    <w:p w14:paraId="1E5D4C9A" w14:textId="0C66465B" w:rsidR="00896938" w:rsidRDefault="00421E7F" w:rsidP="00421E7F">
      <w:r>
        <w:t xml:space="preserve">For numerical questions, </w:t>
      </w:r>
      <w:r w:rsidR="00FD0E3D">
        <w:t xml:space="preserve">if workforce data is not formally collected within your organisation, </w:t>
      </w:r>
      <w:r>
        <w:t>p</w:t>
      </w:r>
      <w:r w:rsidR="00156C49" w:rsidRPr="00156C49">
        <w:t>lease provide a careful estimate for each question for the organisation</w:t>
      </w:r>
      <w:r w:rsidR="005C641F">
        <w:t>.</w:t>
      </w:r>
    </w:p>
    <w:p w14:paraId="4AA5CDAD" w14:textId="40276C89" w:rsidR="00F8403C" w:rsidRPr="00EB3E16" w:rsidRDefault="00F8403C" w:rsidP="00EB3E16">
      <w:pPr>
        <w:pStyle w:val="Heading3"/>
        <w:rPr>
          <w:sz w:val="40"/>
        </w:rPr>
      </w:pPr>
      <w:r w:rsidRPr="00EB3E16">
        <w:rPr>
          <w:sz w:val="40"/>
        </w:rPr>
        <w:t>What about businesses</w:t>
      </w:r>
      <w:r w:rsidR="00327BC5" w:rsidRPr="00EB3E16">
        <w:rPr>
          <w:sz w:val="40"/>
        </w:rPr>
        <w:t>/organisations</w:t>
      </w:r>
      <w:r w:rsidRPr="00EB3E16">
        <w:rPr>
          <w:sz w:val="40"/>
        </w:rPr>
        <w:t xml:space="preserve"> with multiple ABNs?</w:t>
      </w:r>
    </w:p>
    <w:p w14:paraId="1943DA7A" w14:textId="327C24BC" w:rsidR="00327BC5" w:rsidRDefault="00327BC5" w:rsidP="00F8403C">
      <w:r>
        <w:t xml:space="preserve">Where a business/organisation has multiple ABNs, the survey can either be answered on behalf of the whole organisation under the parent ABN, or on behalf of the area the respondent has the most knowledge and information on. </w:t>
      </w:r>
    </w:p>
    <w:p w14:paraId="7BF6A607" w14:textId="6EC7F8AB" w:rsidR="00F8403C" w:rsidRPr="00F8403C" w:rsidRDefault="00327BC5" w:rsidP="00F8403C">
      <w:r>
        <w:t>We ask that when answering on behalf of the whole organisation, respondents coordinate internally to ensure responses are not duplicated.</w:t>
      </w:r>
    </w:p>
    <w:p w14:paraId="294D2155" w14:textId="3D563BFE" w:rsidR="00A5693D" w:rsidRPr="00EB3E16" w:rsidRDefault="00A5693D" w:rsidP="00EB3E16">
      <w:pPr>
        <w:pStyle w:val="Heading3"/>
        <w:rPr>
          <w:sz w:val="40"/>
        </w:rPr>
      </w:pPr>
      <w:r w:rsidRPr="00EB3E16">
        <w:rPr>
          <w:sz w:val="40"/>
        </w:rPr>
        <w:t>How long does the survey take?</w:t>
      </w:r>
    </w:p>
    <w:p w14:paraId="3048560B" w14:textId="2D152881" w:rsidR="00A5693D" w:rsidRPr="00A5693D" w:rsidRDefault="00A5693D" w:rsidP="00A5693D">
      <w:r>
        <w:t xml:space="preserve">Depending on the organisation, </w:t>
      </w:r>
      <w:r w:rsidR="00EB3E16">
        <w:t>w</w:t>
      </w:r>
      <w:r>
        <w:t>e anticipate the survey will take respondents between 30 minutes and one hour. This is dependent on the respondent having access to information on the survey.</w:t>
      </w:r>
    </w:p>
    <w:p w14:paraId="543D994E" w14:textId="581E9BD5" w:rsidR="00156C49" w:rsidRPr="00EB3E16" w:rsidRDefault="00156C49" w:rsidP="00EB3E16">
      <w:pPr>
        <w:pStyle w:val="Heading3"/>
        <w:rPr>
          <w:sz w:val="40"/>
        </w:rPr>
      </w:pPr>
      <w:r w:rsidRPr="00EB3E16">
        <w:rPr>
          <w:sz w:val="40"/>
        </w:rPr>
        <w:t>Where is the survey?</w:t>
      </w:r>
    </w:p>
    <w:p w14:paraId="4E7EB299" w14:textId="777E06E6" w:rsidR="004E06D6" w:rsidRDefault="004E06D6" w:rsidP="00896938">
      <w:r>
        <w:t xml:space="preserve">Information about the AEER is located on </w:t>
      </w:r>
      <w:hyperlink r:id="rId12" w:history="1">
        <w:r w:rsidRPr="004E06D6">
          <w:rPr>
            <w:rStyle w:val="Hyperlink"/>
          </w:rPr>
          <w:t>energy.gov.au</w:t>
        </w:r>
      </w:hyperlink>
      <w:r w:rsidR="00327BC5">
        <w:rPr>
          <w:rStyle w:val="Hyperlink"/>
        </w:rPr>
        <w:t>/aeer</w:t>
      </w:r>
      <w:r w:rsidR="00327BC5">
        <w:t>.</w:t>
      </w:r>
    </w:p>
    <w:p w14:paraId="7C506D29" w14:textId="2B6928F3" w:rsidR="00896938" w:rsidRPr="00896938" w:rsidRDefault="00896938" w:rsidP="00896938">
      <w:r>
        <w:t>The survey</w:t>
      </w:r>
      <w:r w:rsidR="004E06D6">
        <w:t xml:space="preserve"> itself is available at</w:t>
      </w:r>
      <w:r w:rsidR="00EB3E16">
        <w:t xml:space="preserve"> this</w:t>
      </w:r>
      <w:r w:rsidR="004E06D6">
        <w:t xml:space="preserve"> </w:t>
      </w:r>
      <w:hyperlink r:id="rId13" w:history="1">
        <w:r w:rsidR="004E06D6" w:rsidRPr="004E06D6">
          <w:rPr>
            <w:rStyle w:val="Hyperlink"/>
          </w:rPr>
          <w:t>link</w:t>
        </w:r>
      </w:hyperlink>
      <w:r>
        <w:t>.</w:t>
      </w:r>
      <w:r w:rsidRPr="00896938">
        <w:t xml:space="preserve"> </w:t>
      </w:r>
      <w:r w:rsidR="004E06D6">
        <w:t>The survey uses a</w:t>
      </w:r>
      <w:r>
        <w:t xml:space="preserve"> platform called Converlens.</w:t>
      </w:r>
      <w:r w:rsidR="004E06D6">
        <w:t xml:space="preserve"> </w:t>
      </w:r>
      <w:r w:rsidR="004E06D6" w:rsidRPr="004E06D6">
        <w:t xml:space="preserve">Converlens complies with the </w:t>
      </w:r>
      <w:r w:rsidR="004E06D6" w:rsidRPr="004E06D6">
        <w:rPr>
          <w:i/>
        </w:rPr>
        <w:t>Privacy Act 1988</w:t>
      </w:r>
      <w:r w:rsidR="004E06D6" w:rsidRPr="004E06D6">
        <w:t xml:space="preserve"> and stores data securely in Australia.</w:t>
      </w:r>
    </w:p>
    <w:p w14:paraId="5BF0E0E1" w14:textId="64C756E4" w:rsidR="00156C49" w:rsidRPr="00EB3E16" w:rsidRDefault="00B40ADD" w:rsidP="00EB3E16">
      <w:pPr>
        <w:pStyle w:val="Heading3"/>
        <w:rPr>
          <w:sz w:val="40"/>
        </w:rPr>
      </w:pPr>
      <w:r w:rsidRPr="00EB3E16">
        <w:rPr>
          <w:sz w:val="40"/>
        </w:rPr>
        <w:lastRenderedPageBreak/>
        <w:t>How do I navigate</w:t>
      </w:r>
      <w:r w:rsidR="00896938" w:rsidRPr="00EB3E16">
        <w:rPr>
          <w:sz w:val="40"/>
        </w:rPr>
        <w:t xml:space="preserve"> the survey</w:t>
      </w:r>
      <w:r w:rsidRPr="00EB3E16">
        <w:rPr>
          <w:sz w:val="40"/>
        </w:rPr>
        <w:t>?</w:t>
      </w:r>
    </w:p>
    <w:p w14:paraId="77139B7B" w14:textId="44F9463D" w:rsidR="00915B67" w:rsidRDefault="00915B67" w:rsidP="00B251DB">
      <w:r>
        <w:t>The survey overview can be seen on the sidebar on the left. You can navigate between sections by clicking the section headings.</w:t>
      </w:r>
    </w:p>
    <w:p w14:paraId="3D9355B2" w14:textId="6811CAF9" w:rsidR="00915B67" w:rsidRDefault="007F15E2" w:rsidP="00B251DB">
      <w:r w:rsidRPr="007F15E2">
        <w:rPr>
          <w:noProof/>
        </w:rPr>
        <w:drawing>
          <wp:inline distT="0" distB="0" distL="0" distR="0" wp14:anchorId="0DA4B2E3" wp14:editId="3B3AB5ED">
            <wp:extent cx="3476625" cy="12845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01642" cy="1293815"/>
                    </a:xfrm>
                    <a:prstGeom prst="rect">
                      <a:avLst/>
                    </a:prstGeom>
                  </pic:spPr>
                </pic:pic>
              </a:graphicData>
            </a:graphic>
          </wp:inline>
        </w:drawing>
      </w:r>
    </w:p>
    <w:p w14:paraId="73850880" w14:textId="4640C35B" w:rsidR="005C641F" w:rsidRDefault="005C641F" w:rsidP="00B251DB">
      <w:r>
        <w:t>Next and back buttons at the bottom of the survey move through pages. You can return to previous answers if require</w:t>
      </w:r>
      <w:r w:rsidR="00915B67">
        <w:t>d</w:t>
      </w:r>
      <w:r>
        <w:t>. Please note some questions are connected.</w:t>
      </w:r>
    </w:p>
    <w:p w14:paraId="66381B37" w14:textId="77777777" w:rsidR="00915B67" w:rsidRDefault="00A5693D" w:rsidP="00B251DB">
      <w:r w:rsidRPr="00A5693D">
        <w:rPr>
          <w:noProof/>
          <w:lang w:eastAsia="en-AU"/>
        </w:rPr>
        <w:drawing>
          <wp:inline distT="0" distB="0" distL="0" distR="0" wp14:anchorId="5C0335AD" wp14:editId="7A6C8D4C">
            <wp:extent cx="5731510" cy="817880"/>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817880"/>
                    </a:xfrm>
                    <a:prstGeom prst="rect">
                      <a:avLst/>
                    </a:prstGeom>
                  </pic:spPr>
                </pic:pic>
              </a:graphicData>
            </a:graphic>
          </wp:inline>
        </w:drawing>
      </w:r>
    </w:p>
    <w:p w14:paraId="51F606BC" w14:textId="77BDC1A7" w:rsidR="005C641F" w:rsidRDefault="005C641F" w:rsidP="00B251DB">
      <w:r>
        <w:t xml:space="preserve">The progress bar gives an indication of </w:t>
      </w:r>
      <w:r w:rsidR="007F15E2">
        <w:t>survey progress</w:t>
      </w:r>
      <w:r>
        <w:t xml:space="preserve">: </w:t>
      </w:r>
      <w:r w:rsidR="00A5693D" w:rsidRPr="00A5693D">
        <w:rPr>
          <w:noProof/>
        </w:rPr>
        <w:drawing>
          <wp:inline distT="0" distB="0" distL="0" distR="0" wp14:anchorId="3165854C" wp14:editId="01D88D59">
            <wp:extent cx="3524250" cy="5015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37953" cy="503451"/>
                    </a:xfrm>
                    <a:prstGeom prst="rect">
                      <a:avLst/>
                    </a:prstGeom>
                  </pic:spPr>
                </pic:pic>
              </a:graphicData>
            </a:graphic>
          </wp:inline>
        </w:drawing>
      </w:r>
    </w:p>
    <w:p w14:paraId="1AC26A3F" w14:textId="0AFA7327" w:rsidR="005C641F" w:rsidRDefault="005C641F" w:rsidP="005C641F">
      <w:r>
        <w:t>If you would like to start the survey over, you can hit the reset all answers button, below the navigation buttons. You will be prompted to confirm.</w:t>
      </w:r>
    </w:p>
    <w:p w14:paraId="2F72A4CA" w14:textId="302C28BF" w:rsidR="005C641F" w:rsidRDefault="00A5693D" w:rsidP="005C641F">
      <w:r w:rsidRPr="00A5693D">
        <w:rPr>
          <w:noProof/>
        </w:rPr>
        <w:drawing>
          <wp:inline distT="0" distB="0" distL="0" distR="0" wp14:anchorId="292405A6" wp14:editId="65F9781C">
            <wp:extent cx="1867161" cy="5048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67161" cy="504895"/>
                    </a:xfrm>
                    <a:prstGeom prst="rect">
                      <a:avLst/>
                    </a:prstGeom>
                  </pic:spPr>
                </pic:pic>
              </a:graphicData>
            </a:graphic>
          </wp:inline>
        </w:drawing>
      </w:r>
    </w:p>
    <w:p w14:paraId="389384E6" w14:textId="12C53F24" w:rsidR="00421E7F" w:rsidRDefault="005C641F" w:rsidP="00B251DB">
      <w:r>
        <w:t xml:space="preserve"> A red asterisk indicates a mandatory response:</w:t>
      </w:r>
    </w:p>
    <w:p w14:paraId="023DAA91" w14:textId="380753BF" w:rsidR="005C641F" w:rsidRDefault="005C641F" w:rsidP="00B251DB">
      <w:r w:rsidRPr="005C641F">
        <w:rPr>
          <w:noProof/>
          <w:lang w:eastAsia="en-AU"/>
        </w:rPr>
        <w:drawing>
          <wp:inline distT="0" distB="0" distL="0" distR="0" wp14:anchorId="4B8D4395" wp14:editId="4B7C567C">
            <wp:extent cx="3552825" cy="3629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6852" cy="372524"/>
                    </a:xfrm>
                    <a:prstGeom prst="rect">
                      <a:avLst/>
                    </a:prstGeom>
                  </pic:spPr>
                </pic:pic>
              </a:graphicData>
            </a:graphic>
          </wp:inline>
        </w:drawing>
      </w:r>
    </w:p>
    <w:p w14:paraId="71A57F73" w14:textId="77777777" w:rsidR="00EF5489" w:rsidRDefault="00EF5489" w:rsidP="00EF5489">
      <w:pPr>
        <w:pStyle w:val="Heading3"/>
      </w:pPr>
      <w:r>
        <w:t>Saving progress</w:t>
      </w:r>
    </w:p>
    <w:p w14:paraId="751758AF" w14:textId="77777777" w:rsidR="00EF5489" w:rsidRDefault="00EF5489" w:rsidP="00EF5489">
      <w:r>
        <w:t>If you need to exit the survey before completion or share with others in your organisation, you can save your progress by clicking on the button below the survey navigation:</w:t>
      </w:r>
    </w:p>
    <w:p w14:paraId="1BB21FCC" w14:textId="77777777" w:rsidR="00EF5489" w:rsidRDefault="00EF5489" w:rsidP="00EF5489">
      <w:r w:rsidRPr="00906E5E">
        <w:rPr>
          <w:noProof/>
        </w:rPr>
        <w:drawing>
          <wp:inline distT="0" distB="0" distL="0" distR="0" wp14:anchorId="494BE5B7" wp14:editId="216348F9">
            <wp:extent cx="1647825" cy="539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3062" cy="544958"/>
                    </a:xfrm>
                    <a:prstGeom prst="rect">
                      <a:avLst/>
                    </a:prstGeom>
                  </pic:spPr>
                </pic:pic>
              </a:graphicData>
            </a:graphic>
          </wp:inline>
        </w:drawing>
      </w:r>
    </w:p>
    <w:p w14:paraId="1B7A9015" w14:textId="77777777" w:rsidR="00EF5489" w:rsidRDefault="00EF5489" w:rsidP="00EF5489">
      <w:r>
        <w:t>This will take you to a page where you can generate a unique link for your survey form.</w:t>
      </w:r>
    </w:p>
    <w:p w14:paraId="47F6273B" w14:textId="77777777" w:rsidR="00EF5489" w:rsidRDefault="00EF5489" w:rsidP="00EF5489">
      <w:r w:rsidRPr="00906E5E">
        <w:rPr>
          <w:noProof/>
        </w:rPr>
        <w:drawing>
          <wp:inline distT="0" distB="0" distL="0" distR="0" wp14:anchorId="60E64C0F" wp14:editId="61418585">
            <wp:extent cx="5562600" cy="96633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6250" cy="986080"/>
                    </a:xfrm>
                    <a:prstGeom prst="rect">
                      <a:avLst/>
                    </a:prstGeom>
                  </pic:spPr>
                </pic:pic>
              </a:graphicData>
            </a:graphic>
          </wp:inline>
        </w:drawing>
      </w:r>
    </w:p>
    <w:p w14:paraId="72F19E05" w14:textId="77777777" w:rsidR="007E0D78" w:rsidRDefault="007E0D78" w:rsidP="33948221">
      <w:pPr>
        <w:pStyle w:val="Heading3"/>
      </w:pPr>
      <w:r>
        <w:lastRenderedPageBreak/>
        <w:t>Question types</w:t>
      </w:r>
    </w:p>
    <w:p w14:paraId="26CA4815" w14:textId="6652BDB3" w:rsidR="00236B9F" w:rsidRDefault="00236B9F" w:rsidP="00FD0E3D">
      <w:pPr>
        <w:pStyle w:val="Heading4"/>
      </w:pPr>
      <w:r>
        <w:t>Multiple choice</w:t>
      </w:r>
    </w:p>
    <w:p w14:paraId="14F48212" w14:textId="77777777" w:rsidR="00AD7972" w:rsidRDefault="00236B9F" w:rsidP="00FD0E3D">
      <w:r>
        <w:t>Where a question has a check box</w:t>
      </w:r>
      <w:r w:rsidR="00BB6693">
        <w:t xml:space="preserve"> </w:t>
      </w:r>
      <w:r w:rsidR="00BB6693" w:rsidRPr="00BB6693">
        <w:rPr>
          <w:noProof/>
          <w:lang w:eastAsia="en-AU"/>
        </w:rPr>
        <w:drawing>
          <wp:inline distT="0" distB="0" distL="0" distR="0" wp14:anchorId="64CB6B47" wp14:editId="54BCC44E">
            <wp:extent cx="239880" cy="209126"/>
            <wp:effectExtent l="0" t="0" r="825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080" cy="211916"/>
                    </a:xfrm>
                    <a:prstGeom prst="rect">
                      <a:avLst/>
                    </a:prstGeom>
                  </pic:spPr>
                </pic:pic>
              </a:graphicData>
            </a:graphic>
          </wp:inline>
        </w:drawing>
      </w:r>
      <w:r>
        <w:t xml:space="preserve">, please select all answers that apply. </w:t>
      </w:r>
    </w:p>
    <w:p w14:paraId="005611BD" w14:textId="11B62D4C" w:rsidR="00B40ADD" w:rsidRDefault="00FB15D4" w:rsidP="00FD0E3D">
      <w:r>
        <w:t>For</w:t>
      </w:r>
      <w:r w:rsidR="00236B9F">
        <w:t xml:space="preserve"> a radio button</w:t>
      </w:r>
      <w:r w:rsidR="00BB6693">
        <w:t xml:space="preserve"> </w:t>
      </w:r>
      <w:r w:rsidR="00BB6693" w:rsidRPr="00BB6693">
        <w:rPr>
          <w:noProof/>
          <w:lang w:eastAsia="en-AU"/>
        </w:rPr>
        <w:drawing>
          <wp:inline distT="0" distB="0" distL="0" distR="0" wp14:anchorId="254485AB" wp14:editId="658A14C0">
            <wp:extent cx="181552" cy="199707"/>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8932" cy="207825"/>
                    </a:xfrm>
                    <a:prstGeom prst="rect">
                      <a:avLst/>
                    </a:prstGeom>
                  </pic:spPr>
                </pic:pic>
              </a:graphicData>
            </a:graphic>
          </wp:inline>
        </w:drawing>
      </w:r>
      <w:r w:rsidR="00236B9F">
        <w:t xml:space="preserve">, please select the most relevant answer. </w:t>
      </w:r>
    </w:p>
    <w:p w14:paraId="155483D8" w14:textId="7E25F043" w:rsidR="00236B9F" w:rsidRDefault="00236B9F" w:rsidP="00FD0E3D">
      <w:r>
        <w:t>If your answ</w:t>
      </w:r>
      <w:r w:rsidR="00B40ADD">
        <w:t>er is not shown, please select “O</w:t>
      </w:r>
      <w:r>
        <w:t>ther</w:t>
      </w:r>
      <w:r w:rsidR="00A5693D">
        <w:t>- Specify</w:t>
      </w:r>
      <w:r w:rsidR="00B40ADD">
        <w:t>”</w:t>
      </w:r>
      <w:r>
        <w:t xml:space="preserve"> and a text box will appear.</w:t>
      </w:r>
    </w:p>
    <w:p w14:paraId="65C40E2F" w14:textId="355A08F5" w:rsidR="00236B9F" w:rsidRDefault="00236B9F" w:rsidP="33948221">
      <w:pPr>
        <w:pStyle w:val="Heading4"/>
      </w:pPr>
      <w:r>
        <w:t>Numerical</w:t>
      </w:r>
    </w:p>
    <w:p w14:paraId="78807A95" w14:textId="38F18407" w:rsidR="00236B9F" w:rsidRDefault="00236B9F" w:rsidP="00FD0E3D">
      <w:r>
        <w:t>Some questions ask for a number or proportion. These fields will not allow you to enter a non-numerical value.</w:t>
      </w:r>
      <w:r w:rsidR="00AD7972">
        <w:t xml:space="preserve"> </w:t>
      </w:r>
      <w:r>
        <w:t>In the case of proportions, please enter as a whole number</w:t>
      </w:r>
      <w:r w:rsidR="00BB6693">
        <w:t>, without a percentage (%) sign</w:t>
      </w:r>
      <w:r>
        <w:t>.</w:t>
      </w:r>
    </w:p>
    <w:p w14:paraId="5FB2109E" w14:textId="0A3CCB4F" w:rsidR="00236B9F" w:rsidRDefault="41DFACF9" w:rsidP="00FD0E3D">
      <w:pPr>
        <w:pStyle w:val="Heading4"/>
      </w:pPr>
      <w:r>
        <w:t>Open Text</w:t>
      </w:r>
    </w:p>
    <w:p w14:paraId="684C46E4" w14:textId="7BADCE91" w:rsidR="007E0D78" w:rsidRDefault="005C641F">
      <w:r>
        <w:t xml:space="preserve">Please provide a written response. </w:t>
      </w:r>
      <w:r w:rsidR="00236B9F">
        <w:t>Where a character limit is enforced, you will be notified in the question text.</w:t>
      </w:r>
      <w:r w:rsidR="00BB6693" w:rsidRPr="00FD0E3D" w:rsidDel="00236B9F">
        <w:t xml:space="preserve"> </w:t>
      </w:r>
    </w:p>
    <w:p w14:paraId="387AC5A5" w14:textId="59B05F2D" w:rsidR="009E5A38" w:rsidRPr="00EB3E16" w:rsidRDefault="009E5A38" w:rsidP="00EB3E16">
      <w:pPr>
        <w:pStyle w:val="Heading3"/>
        <w:rPr>
          <w:sz w:val="40"/>
        </w:rPr>
      </w:pPr>
      <w:r w:rsidRPr="00EB3E16">
        <w:rPr>
          <w:sz w:val="40"/>
        </w:rPr>
        <w:t xml:space="preserve">Survey </w:t>
      </w:r>
      <w:r w:rsidR="00915B67" w:rsidRPr="00EB3E16">
        <w:rPr>
          <w:sz w:val="40"/>
        </w:rPr>
        <w:t>Dates</w:t>
      </w:r>
    </w:p>
    <w:p w14:paraId="3D3BA599" w14:textId="47280828" w:rsidR="00915B67" w:rsidRDefault="00915B67" w:rsidP="00AD7972">
      <w:pPr>
        <w:pStyle w:val="Heading4"/>
      </w:pPr>
      <w:r>
        <w:t>Survey Reference Date</w:t>
      </w:r>
    </w:p>
    <w:p w14:paraId="58FD2813" w14:textId="4A21603D" w:rsidR="009E5A38" w:rsidRDefault="00915B67" w:rsidP="009E5A38">
      <w:r>
        <w:t xml:space="preserve">Please provide your responses based on the </w:t>
      </w:r>
      <w:r w:rsidRPr="00915B67">
        <w:t>business/organisation</w:t>
      </w:r>
      <w:r>
        <w:t xml:space="preserve">’s most current data </w:t>
      </w:r>
      <w:r w:rsidRPr="00915B67">
        <w:t xml:space="preserve">at the reference date of </w:t>
      </w:r>
      <w:r w:rsidR="00EB3E16">
        <w:t>30</w:t>
      </w:r>
      <w:r>
        <w:t xml:space="preserve"> January 2023.</w:t>
      </w:r>
    </w:p>
    <w:p w14:paraId="02F758A4" w14:textId="01A23635" w:rsidR="009E5A38" w:rsidRPr="009E5A38" w:rsidRDefault="009E5A38" w:rsidP="00AD7972">
      <w:pPr>
        <w:pStyle w:val="Heading4"/>
      </w:pPr>
      <w:r w:rsidRPr="009E5A38">
        <w:t>Survey</w:t>
      </w:r>
      <w:r w:rsidR="00915B67">
        <w:t xml:space="preserve"> close</w:t>
      </w:r>
      <w:r w:rsidRPr="009E5A38">
        <w:t xml:space="preserve"> date</w:t>
      </w:r>
    </w:p>
    <w:p w14:paraId="66104918" w14:textId="0BE07FA9" w:rsidR="009E5A38" w:rsidRPr="00896938" w:rsidRDefault="009E5A38" w:rsidP="009E5A38">
      <w:r>
        <w:t>Please complete and submit your survey b</w:t>
      </w:r>
      <w:r w:rsidR="00915B67">
        <w:t>efore the survey end date, 5:00pm (AEST) 30 April 2023</w:t>
      </w:r>
      <w:r>
        <w:t xml:space="preserve"> </w:t>
      </w:r>
    </w:p>
    <w:p w14:paraId="226137CF" w14:textId="18DD9906" w:rsidR="009E5A38" w:rsidRPr="00EB3E16" w:rsidRDefault="009E5A38" w:rsidP="00EB3E16">
      <w:pPr>
        <w:pStyle w:val="Heading3"/>
        <w:rPr>
          <w:sz w:val="40"/>
        </w:rPr>
      </w:pPr>
      <w:r w:rsidRPr="00EB3E16">
        <w:rPr>
          <w:sz w:val="40"/>
        </w:rPr>
        <w:t>Survey help</w:t>
      </w:r>
    </w:p>
    <w:p w14:paraId="06A6B4CD" w14:textId="5B84DEFD" w:rsidR="009E5A38" w:rsidRDefault="009E5A38" w:rsidP="009E5A38">
      <w:r>
        <w:t xml:space="preserve">If you have problems with completing this form, please contact the </w:t>
      </w:r>
      <w:r w:rsidR="00894444">
        <w:t>AEER team</w:t>
      </w:r>
      <w:r w:rsidR="00AD7972">
        <w:t xml:space="preserve"> via:</w:t>
      </w:r>
    </w:p>
    <w:p w14:paraId="56068D45" w14:textId="29953D5F" w:rsidR="00AD7972" w:rsidRDefault="009E5A38" w:rsidP="00AD7972">
      <w:r>
        <w:rPr>
          <w:b/>
        </w:rPr>
        <w:t>Telephone</w:t>
      </w:r>
      <w:r w:rsidR="00AD7972">
        <w:rPr>
          <w:b/>
        </w:rPr>
        <w:t xml:space="preserve"> </w:t>
      </w:r>
      <w:r w:rsidR="00894444">
        <w:t>(02) 6243 7815</w:t>
      </w:r>
      <w:r w:rsidR="00AD7972">
        <w:rPr>
          <w:b/>
        </w:rPr>
        <w:t xml:space="preserve"> </w:t>
      </w:r>
      <w:r>
        <w:rPr>
          <w:b/>
        </w:rPr>
        <w:t xml:space="preserve">Email </w:t>
      </w:r>
      <w:hyperlink r:id="rId23" w:history="1">
        <w:r w:rsidR="00AD7972" w:rsidRPr="002847F2">
          <w:rPr>
            <w:rStyle w:val="Hyperlink"/>
          </w:rPr>
          <w:t>AEER@industry.gov.au</w:t>
        </w:r>
      </w:hyperlink>
    </w:p>
    <w:p w14:paraId="5C6264C9" w14:textId="2652EACD" w:rsidR="007D2E46" w:rsidRPr="00495C81" w:rsidRDefault="007D2E46" w:rsidP="00EB3E16">
      <w:pPr>
        <w:pStyle w:val="Heading2"/>
      </w:pPr>
      <w:r w:rsidRPr="00EB3E16">
        <w:rPr>
          <w:color w:val="083A42" w:themeColor="text2"/>
          <w:szCs w:val="40"/>
        </w:rPr>
        <w:t>Acknowledgements</w:t>
      </w:r>
    </w:p>
    <w:p w14:paraId="45C16356" w14:textId="108479EC" w:rsidR="007D2E46" w:rsidRDefault="007D2E46" w:rsidP="007D2E46">
      <w:pPr>
        <w:pStyle w:val="Heading1"/>
        <w:spacing w:before="0" w:after="0"/>
        <w:rPr>
          <w:rFonts w:asciiTheme="minorHAnsi" w:eastAsiaTheme="minorHAnsi" w:hAnsiTheme="minorHAnsi" w:cstheme="minorBidi"/>
          <w:color w:val="auto"/>
          <w:sz w:val="22"/>
          <w:szCs w:val="22"/>
        </w:rPr>
      </w:pPr>
      <w:r w:rsidRPr="00495C81">
        <w:rPr>
          <w:rFonts w:asciiTheme="minorHAnsi" w:eastAsiaTheme="minorHAnsi" w:hAnsiTheme="minorHAnsi" w:cstheme="minorBidi"/>
          <w:color w:val="auto"/>
          <w:sz w:val="22"/>
          <w:szCs w:val="22"/>
        </w:rPr>
        <w:t xml:space="preserve">The </w:t>
      </w:r>
      <w:r>
        <w:rPr>
          <w:rFonts w:asciiTheme="minorHAnsi" w:eastAsiaTheme="minorHAnsi" w:hAnsiTheme="minorHAnsi" w:cstheme="minorBidi"/>
          <w:color w:val="auto"/>
          <w:sz w:val="22"/>
          <w:szCs w:val="22"/>
        </w:rPr>
        <w:t>Department of Climate Change, Energy, the Environment and Water would like to acknowledge the expertise, time and effort of the Stakeholder Reference Group</w:t>
      </w:r>
      <w:r w:rsidR="00EB3E16">
        <w:rPr>
          <w:rFonts w:asciiTheme="minorHAnsi" w:eastAsiaTheme="minorHAnsi" w:hAnsiTheme="minorHAnsi" w:cstheme="minorBidi"/>
          <w:color w:val="auto"/>
          <w:sz w:val="22"/>
          <w:szCs w:val="22"/>
        </w:rPr>
        <w:t xml:space="preserve">. To see a list of SRG members, visit the </w:t>
      </w:r>
      <w:hyperlink r:id="rId24" w:history="1">
        <w:r w:rsidR="00EB3E16" w:rsidRPr="00EB3E16">
          <w:rPr>
            <w:rStyle w:val="Hyperlink"/>
            <w:rFonts w:asciiTheme="minorHAnsi" w:eastAsiaTheme="minorHAnsi" w:hAnsiTheme="minorHAnsi" w:cstheme="minorBidi"/>
            <w:sz w:val="22"/>
            <w:szCs w:val="22"/>
          </w:rPr>
          <w:t>AEER webpage</w:t>
        </w:r>
      </w:hyperlink>
      <w:r w:rsidR="00EB3E16" w:rsidRPr="00EB3E16">
        <w:rPr>
          <w:rFonts w:asciiTheme="minorHAnsi" w:eastAsiaTheme="minorHAnsi" w:hAnsiTheme="minorHAnsi" w:cstheme="minorBidi"/>
          <w:color w:val="auto"/>
          <w:sz w:val="22"/>
          <w:szCs w:val="22"/>
        </w:rPr>
        <w:t>.</w:t>
      </w:r>
    </w:p>
    <w:p w14:paraId="41B04646" w14:textId="2284D169" w:rsidR="007D2E46" w:rsidRPr="00AA740C" w:rsidRDefault="007D2E46" w:rsidP="00AD7972"/>
    <w:sectPr w:rsidR="007D2E46" w:rsidRPr="00AA740C" w:rsidSect="005C641F">
      <w:headerReference w:type="default" r:id="rId25"/>
      <w:footerReference w:type="default" r:id="rId26"/>
      <w:headerReference w:type="first" r:id="rId27"/>
      <w:footerReference w:type="first" r:id="rId28"/>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01E3" w14:textId="77777777" w:rsidR="00561533" w:rsidRDefault="00561533" w:rsidP="00B251DB">
      <w:pPr>
        <w:spacing w:after="0" w:line="240" w:lineRule="auto"/>
      </w:pPr>
      <w:r>
        <w:separator/>
      </w:r>
    </w:p>
  </w:endnote>
  <w:endnote w:type="continuationSeparator" w:id="0">
    <w:p w14:paraId="59EE5480" w14:textId="77777777" w:rsidR="00561533" w:rsidRDefault="00561533"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6B16" w14:textId="77777777" w:rsidR="00BD0F8A" w:rsidRDefault="003661FC" w:rsidP="00BD0F8A">
    <w:pPr>
      <w:pStyle w:val="Footer"/>
      <w:jc w:val="right"/>
      <w:rPr>
        <w:noProof/>
      </w:rPr>
    </w:pPr>
    <w:sdt>
      <w:sdtPr>
        <w:alias w:val="Title"/>
        <w:tag w:val=""/>
        <w:id w:val="-806242154"/>
        <w:placeholder>
          <w:docPart w:val="283C6A5853A54830868E2A339CA428E6"/>
        </w:placeholder>
        <w:dataBinding w:prefixMappings="xmlns:ns0='http://purl.org/dc/elements/1.1/' xmlns:ns1='http://schemas.openxmlformats.org/package/2006/metadata/core-properties' " w:xpath="/ns1:coreProperties[1]/ns0:title[1]" w:storeItemID="{6C3C8BC8-F283-45AE-878A-BAB7291924A1}"/>
        <w:text/>
      </w:sdtPr>
      <w:sdtEndPr/>
      <w:sdtContent>
        <w:r w:rsidR="005B70B2">
          <w:t>Australian Energy Employment Report</w:t>
        </w:r>
      </w:sdtContent>
    </w:sdt>
    <w:r w:rsidR="00BD0F8A">
      <w:tab/>
    </w:r>
    <w:r w:rsidR="005F23DA">
      <w:t>DCCEEW</w:t>
    </w:r>
    <w:r w:rsidR="00BD0F8A">
      <w:t>.gov.au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7D2E46">
          <w:rPr>
            <w:noProof/>
          </w:rPr>
          <w:t>5</w:t>
        </w:r>
        <w:r w:rsidR="00BD0F8A">
          <w:rPr>
            <w:noProof/>
          </w:rPr>
          <w:fldChar w:fldCharType="end"/>
        </w:r>
      </w:sdtContent>
    </w:sdt>
  </w:p>
  <w:p w14:paraId="39B76B17" w14:textId="108BFE3C" w:rsidR="006C0396" w:rsidRPr="00FD0E3D" w:rsidRDefault="009E5A38">
    <w:pPr>
      <w:pStyle w:val="Footer"/>
      <w:jc w:val="center"/>
      <w:rPr>
        <w:b/>
        <w:bCs/>
        <w:color w:val="FF0000"/>
        <w:sz w:val="28"/>
        <w:szCs w:val="28"/>
      </w:rPr>
    </w:pPr>
    <w:r>
      <w:rPr>
        <w:b/>
        <w:bCs/>
        <w:color w:val="FF0000"/>
        <w:sz w:val="28"/>
        <w:szCs w:val="28"/>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2295"/>
      <w:gridCol w:w="2001"/>
    </w:tblGrid>
    <w:tr w:rsidR="004A15A5" w:rsidRPr="004A15A5" w14:paraId="4255D3B7" w14:textId="77777777" w:rsidTr="33948221">
      <w:tc>
        <w:tcPr>
          <w:tcW w:w="3005" w:type="dxa"/>
        </w:tcPr>
        <w:p w14:paraId="36390DFB" w14:textId="47672A24" w:rsidR="004A15A5" w:rsidRPr="004A15A5" w:rsidRDefault="003661FC" w:rsidP="004A15A5">
          <w:pPr>
            <w:pStyle w:val="Footer"/>
            <w:jc w:val="right"/>
            <w:rPr>
              <w:noProof/>
              <w:sz w:val="16"/>
              <w:szCs w:val="16"/>
            </w:rPr>
          </w:pPr>
          <w:sdt>
            <w:sdtPr>
              <w:rPr>
                <w:sz w:val="16"/>
                <w:szCs w:val="16"/>
              </w:rPr>
              <w:alias w:val="Title"/>
              <w:tag w:val=""/>
              <w:id w:val="-2062095838"/>
              <w:dataBinding w:prefixMappings="xmlns:ns0='http://purl.org/dc/elements/1.1/' xmlns:ns1='http://schemas.openxmlformats.org/package/2006/metadata/core-properties' " w:xpath="/ns1:coreProperties[1]/ns0:title[1]" w:storeItemID="{6C3C8BC8-F283-45AE-878A-BAB7291924A1}"/>
              <w:text/>
            </w:sdtPr>
            <w:sdtEndPr/>
            <w:sdtContent>
              <w:r w:rsidR="004A15A5" w:rsidRPr="004A15A5">
                <w:rPr>
                  <w:sz w:val="16"/>
                  <w:szCs w:val="16"/>
                </w:rPr>
                <w:t>Australian Energy Employment Report</w:t>
              </w:r>
            </w:sdtContent>
          </w:sdt>
          <w:r w:rsidR="004A15A5" w:rsidRPr="004A15A5">
            <w:rPr>
              <w:sz w:val="16"/>
              <w:szCs w:val="16"/>
            </w:rPr>
            <w:tab/>
          </w:r>
          <w:r w:rsidR="004A15A5" w:rsidRPr="004A15A5">
            <w:rPr>
              <w:sz w:val="16"/>
              <w:szCs w:val="16"/>
            </w:rPr>
            <w:tab/>
          </w:r>
        </w:p>
      </w:tc>
      <w:tc>
        <w:tcPr>
          <w:tcW w:w="3005" w:type="dxa"/>
        </w:tcPr>
        <w:p w14:paraId="45DA1E1D" w14:textId="287E48C9" w:rsidR="004A15A5" w:rsidRPr="00FD0E3D" w:rsidRDefault="004A15A5">
          <w:pPr>
            <w:pStyle w:val="Footer"/>
            <w:jc w:val="center"/>
            <w:rPr>
              <w:b/>
              <w:bCs/>
              <w:color w:val="FF0000"/>
              <w:sz w:val="16"/>
              <w:szCs w:val="16"/>
            </w:rPr>
          </w:pPr>
          <w:r w:rsidRPr="004A15A5">
            <w:rPr>
              <w:sz w:val="16"/>
              <w:szCs w:val="16"/>
            </w:rPr>
            <w:t>DCCEEW.gov.au</w:t>
          </w:r>
        </w:p>
      </w:tc>
      <w:tc>
        <w:tcPr>
          <w:tcW w:w="3006" w:type="dxa"/>
        </w:tcPr>
        <w:sdt>
          <w:sdtPr>
            <w:rPr>
              <w:sz w:val="16"/>
              <w:szCs w:val="16"/>
            </w:rPr>
            <w:id w:val="-1705238520"/>
            <w:docPartObj>
              <w:docPartGallery w:val="Page Numbers (Top of Page)"/>
              <w:docPartUnique/>
            </w:docPartObj>
          </w:sdtPr>
          <w:sdtEndPr/>
          <w:sdtContent>
            <w:p w14:paraId="5BC226C2" w14:textId="10ABE87B" w:rsidR="004A15A5" w:rsidRPr="004A15A5" w:rsidRDefault="004A15A5" w:rsidP="004A15A5">
              <w:pPr>
                <w:pStyle w:val="Footer"/>
                <w:jc w:val="right"/>
                <w:rPr>
                  <w:sz w:val="16"/>
                  <w:szCs w:val="16"/>
                </w:rPr>
              </w:pPr>
              <w:r w:rsidRPr="004A15A5">
                <w:rPr>
                  <w:sz w:val="16"/>
                  <w:szCs w:val="16"/>
                </w:rPr>
                <w:t xml:space="preserve">Page </w:t>
              </w:r>
              <w:r w:rsidRPr="004A15A5">
                <w:rPr>
                  <w:bCs/>
                  <w:sz w:val="16"/>
                  <w:szCs w:val="16"/>
                </w:rPr>
                <w:fldChar w:fldCharType="begin"/>
              </w:r>
              <w:r w:rsidRPr="004A15A5">
                <w:rPr>
                  <w:bCs/>
                  <w:sz w:val="16"/>
                  <w:szCs w:val="16"/>
                </w:rPr>
                <w:instrText xml:space="preserve"> PAGE </w:instrText>
              </w:r>
              <w:r w:rsidRPr="004A15A5">
                <w:rPr>
                  <w:bCs/>
                  <w:sz w:val="16"/>
                  <w:szCs w:val="16"/>
                </w:rPr>
                <w:fldChar w:fldCharType="separate"/>
              </w:r>
              <w:r w:rsidR="007D2E46">
                <w:rPr>
                  <w:bCs/>
                  <w:noProof/>
                  <w:sz w:val="16"/>
                  <w:szCs w:val="16"/>
                </w:rPr>
                <w:t>1</w:t>
              </w:r>
              <w:r w:rsidRPr="004A15A5">
                <w:rPr>
                  <w:bCs/>
                  <w:sz w:val="16"/>
                  <w:szCs w:val="16"/>
                </w:rPr>
                <w:fldChar w:fldCharType="end"/>
              </w:r>
              <w:r w:rsidRPr="004A15A5">
                <w:rPr>
                  <w:sz w:val="16"/>
                  <w:szCs w:val="16"/>
                </w:rPr>
                <w:t xml:space="preserve"> of </w:t>
              </w:r>
              <w:r w:rsidRPr="004A15A5">
                <w:rPr>
                  <w:bCs/>
                  <w:sz w:val="16"/>
                  <w:szCs w:val="16"/>
                </w:rPr>
                <w:fldChar w:fldCharType="begin"/>
              </w:r>
              <w:r w:rsidRPr="004A15A5">
                <w:rPr>
                  <w:bCs/>
                  <w:sz w:val="16"/>
                  <w:szCs w:val="16"/>
                </w:rPr>
                <w:instrText xml:space="preserve"> NUMPAGES  </w:instrText>
              </w:r>
              <w:r w:rsidRPr="004A15A5">
                <w:rPr>
                  <w:bCs/>
                  <w:sz w:val="16"/>
                  <w:szCs w:val="16"/>
                </w:rPr>
                <w:fldChar w:fldCharType="separate"/>
              </w:r>
              <w:r w:rsidR="007D2E46">
                <w:rPr>
                  <w:bCs/>
                  <w:noProof/>
                  <w:sz w:val="16"/>
                  <w:szCs w:val="16"/>
                </w:rPr>
                <w:t>5</w:t>
              </w:r>
              <w:r w:rsidRPr="004A15A5">
                <w:rPr>
                  <w:bCs/>
                  <w:sz w:val="16"/>
                  <w:szCs w:val="16"/>
                </w:rPr>
                <w:fldChar w:fldCharType="end"/>
              </w:r>
            </w:p>
          </w:sdtContent>
        </w:sdt>
        <w:p w14:paraId="6181D4D9" w14:textId="77777777" w:rsidR="33948221" w:rsidRDefault="33948221"/>
      </w:tc>
    </w:tr>
  </w:tbl>
  <w:p w14:paraId="39B76B1C" w14:textId="77777777" w:rsidR="006C0396" w:rsidRPr="00FD0E3D" w:rsidRDefault="005B70B2">
    <w:pPr>
      <w:pStyle w:val="Footer"/>
      <w:jc w:val="center"/>
      <w:rPr>
        <w:b/>
        <w:bCs/>
        <w:color w:val="FF0000"/>
        <w:sz w:val="28"/>
        <w:szCs w:val="28"/>
      </w:rPr>
    </w:pPr>
    <w:r w:rsidRPr="00FD0E3D">
      <w:rPr>
        <w:b/>
        <w:bCs/>
        <w:color w:val="FF0000"/>
        <w:sz w:val="28"/>
        <w:szCs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A05F" w14:textId="77777777" w:rsidR="00561533" w:rsidRDefault="00561533" w:rsidP="00B251DB">
      <w:pPr>
        <w:spacing w:after="0" w:line="240" w:lineRule="auto"/>
      </w:pPr>
      <w:r>
        <w:separator/>
      </w:r>
    </w:p>
  </w:footnote>
  <w:footnote w:type="continuationSeparator" w:id="0">
    <w:p w14:paraId="60F8CD89" w14:textId="77777777" w:rsidR="00561533" w:rsidRDefault="00561533" w:rsidP="00B2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6B15" w14:textId="2E0E4B31" w:rsidR="007B0385" w:rsidRPr="00FD0E3D" w:rsidRDefault="009E5A38">
    <w:pPr>
      <w:pStyle w:val="Footer"/>
      <w:jc w:val="center"/>
      <w:rPr>
        <w:b/>
        <w:bCs/>
        <w:color w:val="FF0000"/>
        <w:sz w:val="28"/>
        <w:szCs w:val="28"/>
      </w:rPr>
    </w:pPr>
    <w:r>
      <w:rPr>
        <w:b/>
        <w:bCs/>
        <w:color w:val="FF0000"/>
        <w:sz w:val="28"/>
        <w:szCs w:val="28"/>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6B18" w14:textId="110383BD" w:rsidR="007B0385" w:rsidRPr="00FD0E3D" w:rsidRDefault="00E36582">
    <w:pPr>
      <w:pStyle w:val="Header"/>
      <w:jc w:val="center"/>
      <w:rPr>
        <w:b/>
        <w:bCs/>
        <w:color w:val="FF0000"/>
        <w:sz w:val="24"/>
        <w:szCs w:val="24"/>
      </w:rPr>
    </w:pPr>
    <w:r>
      <w:rPr>
        <w:b/>
        <w:bCs/>
        <w:color w:val="FF0000"/>
        <w:sz w:val="24"/>
        <w:szCs w:val="24"/>
      </w:rPr>
      <w:t>OFFICIAL</w:t>
    </w:r>
  </w:p>
  <w:p w14:paraId="39B76B19" w14:textId="77777777" w:rsidR="00141A40" w:rsidRDefault="00141A40">
    <w:pPr>
      <w:pStyle w:val="Header"/>
      <w:rPr>
        <w:noProof/>
        <w:lang w:eastAsia="en-AU"/>
      </w:rPr>
    </w:pPr>
  </w:p>
  <w:p w14:paraId="39B76B1A" w14:textId="77777777" w:rsidR="00806473" w:rsidRDefault="00806473">
    <w:pPr>
      <w:pStyle w:val="Header"/>
    </w:pPr>
    <w:r w:rsidRPr="00180BF8">
      <w:rPr>
        <w:noProof/>
        <w:lang w:eastAsia="en-AU"/>
      </w:rPr>
      <w:drawing>
        <wp:inline distT="0" distB="0" distL="0" distR="0" wp14:anchorId="39B76B1D" wp14:editId="39B76B1E">
          <wp:extent cx="3019480" cy="627399"/>
          <wp:effectExtent l="0" t="0" r="0" b="1270"/>
          <wp:docPr id="1" name="Picture 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295"/>
    <w:multiLevelType w:val="hybridMultilevel"/>
    <w:tmpl w:val="EF1EEA24"/>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04198"/>
    <w:multiLevelType w:val="hybridMultilevel"/>
    <w:tmpl w:val="6810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547C3"/>
    <w:multiLevelType w:val="hybridMultilevel"/>
    <w:tmpl w:val="9FA8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B400A"/>
    <w:multiLevelType w:val="hybridMultilevel"/>
    <w:tmpl w:val="6E508F10"/>
    <w:lvl w:ilvl="0" w:tplc="1C4CE588">
      <w:start w:val="1"/>
      <w:numFmt w:val="bullet"/>
      <w:lvlText w:val="o"/>
      <w:lvlJc w:val="left"/>
      <w:pPr>
        <w:ind w:left="720" w:hanging="360"/>
      </w:pPr>
      <w:rPr>
        <w:rFonts w:ascii="Wingdings" w:hAnsi="Wingdings" w:hint="default"/>
        <w:sz w:val="40"/>
        <w:szCs w:val="40"/>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F10BAE"/>
    <w:multiLevelType w:val="hybridMultilevel"/>
    <w:tmpl w:val="F25E9100"/>
    <w:lvl w:ilvl="0" w:tplc="1C4CE588">
      <w:start w:val="1"/>
      <w:numFmt w:val="bullet"/>
      <w:lvlText w:val="o"/>
      <w:lvlJc w:val="left"/>
      <w:pPr>
        <w:ind w:left="720" w:hanging="360"/>
      </w:pPr>
      <w:rPr>
        <w:rFonts w:ascii="Wingdings" w:hAnsi="Wingdings" w:hint="default"/>
        <w:sz w:val="40"/>
        <w:szCs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D92FC7"/>
    <w:multiLevelType w:val="hybridMultilevel"/>
    <w:tmpl w:val="E102B6F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9741F1"/>
    <w:multiLevelType w:val="hybridMultilevel"/>
    <w:tmpl w:val="C3900C78"/>
    <w:lvl w:ilvl="0" w:tplc="C8AE6BD4">
      <w:start w:val="1"/>
      <w:numFmt w:val="decimal"/>
      <w:lvlText w:val="%1."/>
      <w:lvlJc w:val="left"/>
      <w:pPr>
        <w:ind w:left="360" w:hanging="360"/>
      </w:pPr>
    </w:lvl>
    <w:lvl w:ilvl="1" w:tplc="CFBCFC18">
      <w:start w:val="1"/>
      <w:numFmt w:val="lowerLetter"/>
      <w:lvlText w:val="%2."/>
      <w:lvlJc w:val="left"/>
      <w:pPr>
        <w:ind w:left="1080" w:hanging="360"/>
      </w:pPr>
    </w:lvl>
    <w:lvl w:ilvl="2" w:tplc="E4A2A1D2">
      <w:start w:val="1"/>
      <w:numFmt w:val="lowerRoman"/>
      <w:lvlText w:val="%3."/>
      <w:lvlJc w:val="right"/>
      <w:pPr>
        <w:ind w:left="1800" w:hanging="180"/>
      </w:pPr>
    </w:lvl>
    <w:lvl w:ilvl="3" w:tplc="A6FE0BAC">
      <w:start w:val="1"/>
      <w:numFmt w:val="decimal"/>
      <w:lvlText w:val="%4."/>
      <w:lvlJc w:val="left"/>
      <w:pPr>
        <w:ind w:left="2520" w:hanging="360"/>
      </w:pPr>
    </w:lvl>
    <w:lvl w:ilvl="4" w:tplc="45065E2C">
      <w:start w:val="1"/>
      <w:numFmt w:val="lowerLetter"/>
      <w:lvlText w:val="%5."/>
      <w:lvlJc w:val="left"/>
      <w:pPr>
        <w:ind w:left="3240" w:hanging="360"/>
      </w:pPr>
    </w:lvl>
    <w:lvl w:ilvl="5" w:tplc="39AABC9C">
      <w:start w:val="1"/>
      <w:numFmt w:val="lowerRoman"/>
      <w:lvlText w:val="%6."/>
      <w:lvlJc w:val="right"/>
      <w:pPr>
        <w:ind w:left="3960" w:hanging="180"/>
      </w:pPr>
    </w:lvl>
    <w:lvl w:ilvl="6" w:tplc="500EA43C">
      <w:start w:val="1"/>
      <w:numFmt w:val="decimal"/>
      <w:lvlText w:val="%7."/>
      <w:lvlJc w:val="left"/>
      <w:pPr>
        <w:ind w:left="4680" w:hanging="360"/>
      </w:pPr>
    </w:lvl>
    <w:lvl w:ilvl="7" w:tplc="1B4C7D0C">
      <w:start w:val="1"/>
      <w:numFmt w:val="lowerLetter"/>
      <w:lvlText w:val="%8."/>
      <w:lvlJc w:val="left"/>
      <w:pPr>
        <w:ind w:left="5400" w:hanging="360"/>
      </w:pPr>
    </w:lvl>
    <w:lvl w:ilvl="8" w:tplc="C4162780">
      <w:start w:val="1"/>
      <w:numFmt w:val="lowerRoman"/>
      <w:lvlText w:val="%9."/>
      <w:lvlJc w:val="right"/>
      <w:pPr>
        <w:ind w:left="6120" w:hanging="180"/>
      </w:pPr>
    </w:lvl>
  </w:abstractNum>
  <w:abstractNum w:abstractNumId="15" w15:restartNumberingAfterBreak="0">
    <w:nsid w:val="45200CBB"/>
    <w:multiLevelType w:val="hybridMultilevel"/>
    <w:tmpl w:val="585A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82167"/>
    <w:multiLevelType w:val="hybridMultilevel"/>
    <w:tmpl w:val="5330C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46DCB"/>
    <w:multiLevelType w:val="hybridMultilevel"/>
    <w:tmpl w:val="8BD8509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147AFF"/>
    <w:multiLevelType w:val="hybridMultilevel"/>
    <w:tmpl w:val="8A8C926A"/>
    <w:lvl w:ilvl="0" w:tplc="0C090001">
      <w:start w:val="1"/>
      <w:numFmt w:val="bullet"/>
      <w:lvlText w:val=""/>
      <w:lvlJc w:val="left"/>
      <w:pPr>
        <w:ind w:left="720" w:hanging="360"/>
      </w:pPr>
      <w:rPr>
        <w:rFonts w:ascii="Symbol" w:hAnsi="Symbol" w:hint="default"/>
      </w:rPr>
    </w:lvl>
    <w:lvl w:ilvl="1" w:tplc="CFBCFC18">
      <w:start w:val="1"/>
      <w:numFmt w:val="lowerLetter"/>
      <w:lvlText w:val="%2."/>
      <w:lvlJc w:val="left"/>
      <w:pPr>
        <w:ind w:left="1440" w:hanging="360"/>
      </w:pPr>
    </w:lvl>
    <w:lvl w:ilvl="2" w:tplc="E4A2A1D2">
      <w:start w:val="1"/>
      <w:numFmt w:val="lowerRoman"/>
      <w:lvlText w:val="%3."/>
      <w:lvlJc w:val="right"/>
      <w:pPr>
        <w:ind w:left="2160" w:hanging="180"/>
      </w:pPr>
    </w:lvl>
    <w:lvl w:ilvl="3" w:tplc="A6FE0BAC">
      <w:start w:val="1"/>
      <w:numFmt w:val="decimal"/>
      <w:lvlText w:val="%4."/>
      <w:lvlJc w:val="left"/>
      <w:pPr>
        <w:ind w:left="2880" w:hanging="360"/>
      </w:pPr>
    </w:lvl>
    <w:lvl w:ilvl="4" w:tplc="45065E2C">
      <w:start w:val="1"/>
      <w:numFmt w:val="lowerLetter"/>
      <w:lvlText w:val="%5."/>
      <w:lvlJc w:val="left"/>
      <w:pPr>
        <w:ind w:left="3600" w:hanging="360"/>
      </w:pPr>
    </w:lvl>
    <w:lvl w:ilvl="5" w:tplc="39AABC9C">
      <w:start w:val="1"/>
      <w:numFmt w:val="lowerRoman"/>
      <w:lvlText w:val="%6."/>
      <w:lvlJc w:val="right"/>
      <w:pPr>
        <w:ind w:left="4320" w:hanging="180"/>
      </w:pPr>
    </w:lvl>
    <w:lvl w:ilvl="6" w:tplc="500EA43C">
      <w:start w:val="1"/>
      <w:numFmt w:val="decimal"/>
      <w:lvlText w:val="%7."/>
      <w:lvlJc w:val="left"/>
      <w:pPr>
        <w:ind w:left="5040" w:hanging="360"/>
      </w:pPr>
    </w:lvl>
    <w:lvl w:ilvl="7" w:tplc="1B4C7D0C">
      <w:start w:val="1"/>
      <w:numFmt w:val="lowerLetter"/>
      <w:lvlText w:val="%8."/>
      <w:lvlJc w:val="left"/>
      <w:pPr>
        <w:ind w:left="5760" w:hanging="360"/>
      </w:pPr>
    </w:lvl>
    <w:lvl w:ilvl="8" w:tplc="C4162780">
      <w:start w:val="1"/>
      <w:numFmt w:val="lowerRoman"/>
      <w:lvlText w:val="%9."/>
      <w:lvlJc w:val="right"/>
      <w:pPr>
        <w:ind w:left="6480" w:hanging="180"/>
      </w:pPr>
    </w:lvl>
  </w:abstractNum>
  <w:abstractNum w:abstractNumId="2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1A73AB"/>
    <w:multiLevelType w:val="hybridMultilevel"/>
    <w:tmpl w:val="5EF8EE7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253637241">
    <w:abstractNumId w:val="11"/>
  </w:num>
  <w:num w:numId="2" w16cid:durableId="633675163">
    <w:abstractNumId w:val="8"/>
  </w:num>
  <w:num w:numId="3" w16cid:durableId="1510409857">
    <w:abstractNumId w:val="18"/>
  </w:num>
  <w:num w:numId="4" w16cid:durableId="1279489153">
    <w:abstractNumId w:val="13"/>
  </w:num>
  <w:num w:numId="5" w16cid:durableId="632907637">
    <w:abstractNumId w:val="21"/>
  </w:num>
  <w:num w:numId="6" w16cid:durableId="1081803411">
    <w:abstractNumId w:val="6"/>
  </w:num>
  <w:num w:numId="7" w16cid:durableId="1041782586">
    <w:abstractNumId w:val="1"/>
  </w:num>
  <w:num w:numId="8" w16cid:durableId="56053132">
    <w:abstractNumId w:val="5"/>
  </w:num>
  <w:num w:numId="9" w16cid:durableId="818810923">
    <w:abstractNumId w:val="16"/>
  </w:num>
  <w:num w:numId="10" w16cid:durableId="1011638879">
    <w:abstractNumId w:val="19"/>
  </w:num>
  <w:num w:numId="11" w16cid:durableId="1026516246">
    <w:abstractNumId w:val="7"/>
  </w:num>
  <w:num w:numId="12" w16cid:durableId="591164598">
    <w:abstractNumId w:val="26"/>
  </w:num>
  <w:num w:numId="13" w16cid:durableId="1413744222">
    <w:abstractNumId w:val="23"/>
  </w:num>
  <w:num w:numId="14" w16cid:durableId="194658360">
    <w:abstractNumId w:val="12"/>
  </w:num>
  <w:num w:numId="15" w16cid:durableId="2008629854">
    <w:abstractNumId w:val="24"/>
  </w:num>
  <w:num w:numId="16" w16cid:durableId="1242642721">
    <w:abstractNumId w:val="10"/>
  </w:num>
  <w:num w:numId="17" w16cid:durableId="1708721057">
    <w:abstractNumId w:val="0"/>
  </w:num>
  <w:num w:numId="18" w16cid:durableId="2078359009">
    <w:abstractNumId w:val="15"/>
  </w:num>
  <w:num w:numId="19" w16cid:durableId="1658069059">
    <w:abstractNumId w:val="17"/>
  </w:num>
  <w:num w:numId="20" w16cid:durableId="2017610642">
    <w:abstractNumId w:val="4"/>
  </w:num>
  <w:num w:numId="21" w16cid:durableId="1152019096">
    <w:abstractNumId w:val="20"/>
  </w:num>
  <w:num w:numId="22" w16cid:durableId="285241505">
    <w:abstractNumId w:val="9"/>
  </w:num>
  <w:num w:numId="23" w16cid:durableId="1604609333">
    <w:abstractNumId w:val="25"/>
  </w:num>
  <w:num w:numId="24" w16cid:durableId="1941985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0780828">
    <w:abstractNumId w:val="22"/>
  </w:num>
  <w:num w:numId="26" w16cid:durableId="290595532">
    <w:abstractNumId w:val="2"/>
  </w:num>
  <w:num w:numId="27" w16cid:durableId="32520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5B"/>
    <w:rsid w:val="00031D39"/>
    <w:rsid w:val="00032995"/>
    <w:rsid w:val="00046161"/>
    <w:rsid w:val="00046C20"/>
    <w:rsid w:val="000552B3"/>
    <w:rsid w:val="0007067B"/>
    <w:rsid w:val="00081D07"/>
    <w:rsid w:val="00081D0E"/>
    <w:rsid w:val="000C3494"/>
    <w:rsid w:val="000E599A"/>
    <w:rsid w:val="000F2564"/>
    <w:rsid w:val="00123A32"/>
    <w:rsid w:val="00136F10"/>
    <w:rsid w:val="00141A40"/>
    <w:rsid w:val="00147760"/>
    <w:rsid w:val="00153C15"/>
    <w:rsid w:val="001540A3"/>
    <w:rsid w:val="00156C49"/>
    <w:rsid w:val="00191028"/>
    <w:rsid w:val="001D216A"/>
    <w:rsid w:val="001D2E82"/>
    <w:rsid w:val="001F5AB1"/>
    <w:rsid w:val="00205DF3"/>
    <w:rsid w:val="0022083E"/>
    <w:rsid w:val="00222D0B"/>
    <w:rsid w:val="00236B9F"/>
    <w:rsid w:val="00241D3D"/>
    <w:rsid w:val="0025218F"/>
    <w:rsid w:val="00254DA8"/>
    <w:rsid w:val="00272B04"/>
    <w:rsid w:val="002B5C69"/>
    <w:rsid w:val="002D230B"/>
    <w:rsid w:val="00327BC5"/>
    <w:rsid w:val="003661FC"/>
    <w:rsid w:val="003D38ED"/>
    <w:rsid w:val="00421E7F"/>
    <w:rsid w:val="0044426B"/>
    <w:rsid w:val="004632E9"/>
    <w:rsid w:val="0046678C"/>
    <w:rsid w:val="00495C81"/>
    <w:rsid w:val="004A15A5"/>
    <w:rsid w:val="004A1721"/>
    <w:rsid w:val="004B4254"/>
    <w:rsid w:val="004C02F7"/>
    <w:rsid w:val="004C05FA"/>
    <w:rsid w:val="004D3B0F"/>
    <w:rsid w:val="004E06D6"/>
    <w:rsid w:val="00516B0E"/>
    <w:rsid w:val="00540B45"/>
    <w:rsid w:val="005544C5"/>
    <w:rsid w:val="00561533"/>
    <w:rsid w:val="00584B74"/>
    <w:rsid w:val="005A1128"/>
    <w:rsid w:val="005B1748"/>
    <w:rsid w:val="005B70B2"/>
    <w:rsid w:val="005C641F"/>
    <w:rsid w:val="005E60D7"/>
    <w:rsid w:val="005F23DA"/>
    <w:rsid w:val="00603DDF"/>
    <w:rsid w:val="00607188"/>
    <w:rsid w:val="00662DDF"/>
    <w:rsid w:val="00671D1D"/>
    <w:rsid w:val="0068286F"/>
    <w:rsid w:val="006C0396"/>
    <w:rsid w:val="006C4C9C"/>
    <w:rsid w:val="006C5288"/>
    <w:rsid w:val="006D2221"/>
    <w:rsid w:val="006E1E6A"/>
    <w:rsid w:val="006E4001"/>
    <w:rsid w:val="006F58A5"/>
    <w:rsid w:val="006F71AD"/>
    <w:rsid w:val="00711349"/>
    <w:rsid w:val="0071329F"/>
    <w:rsid w:val="00720DA2"/>
    <w:rsid w:val="00723C5D"/>
    <w:rsid w:val="00742E25"/>
    <w:rsid w:val="007833EE"/>
    <w:rsid w:val="007862C8"/>
    <w:rsid w:val="007B0385"/>
    <w:rsid w:val="007B553F"/>
    <w:rsid w:val="007D2E46"/>
    <w:rsid w:val="007E0D78"/>
    <w:rsid w:val="007E411D"/>
    <w:rsid w:val="007F15E2"/>
    <w:rsid w:val="00806473"/>
    <w:rsid w:val="00806FA9"/>
    <w:rsid w:val="00853A7A"/>
    <w:rsid w:val="0088244D"/>
    <w:rsid w:val="00892B6E"/>
    <w:rsid w:val="00894444"/>
    <w:rsid w:val="00896938"/>
    <w:rsid w:val="00902A11"/>
    <w:rsid w:val="00906E5E"/>
    <w:rsid w:val="00915B67"/>
    <w:rsid w:val="009746CC"/>
    <w:rsid w:val="009A549D"/>
    <w:rsid w:val="009E5A38"/>
    <w:rsid w:val="00A52F3D"/>
    <w:rsid w:val="00A5693D"/>
    <w:rsid w:val="00A731BB"/>
    <w:rsid w:val="00AA740C"/>
    <w:rsid w:val="00AC4EE2"/>
    <w:rsid w:val="00AD7972"/>
    <w:rsid w:val="00AF1F64"/>
    <w:rsid w:val="00B251DB"/>
    <w:rsid w:val="00B26C25"/>
    <w:rsid w:val="00B31130"/>
    <w:rsid w:val="00B35C0C"/>
    <w:rsid w:val="00B40ADD"/>
    <w:rsid w:val="00B43D91"/>
    <w:rsid w:val="00B53E80"/>
    <w:rsid w:val="00B818F6"/>
    <w:rsid w:val="00BB6693"/>
    <w:rsid w:val="00BC547D"/>
    <w:rsid w:val="00BD0F8A"/>
    <w:rsid w:val="00BE6EEA"/>
    <w:rsid w:val="00C379E5"/>
    <w:rsid w:val="00C441F4"/>
    <w:rsid w:val="00C544B5"/>
    <w:rsid w:val="00C8510F"/>
    <w:rsid w:val="00CA4FAE"/>
    <w:rsid w:val="00CE27B7"/>
    <w:rsid w:val="00CF2983"/>
    <w:rsid w:val="00D220CF"/>
    <w:rsid w:val="00D230F4"/>
    <w:rsid w:val="00D534D6"/>
    <w:rsid w:val="00D841E9"/>
    <w:rsid w:val="00D95107"/>
    <w:rsid w:val="00DA515B"/>
    <w:rsid w:val="00DD6E15"/>
    <w:rsid w:val="00E01D7D"/>
    <w:rsid w:val="00E3027E"/>
    <w:rsid w:val="00E36582"/>
    <w:rsid w:val="00E74DDC"/>
    <w:rsid w:val="00EA358C"/>
    <w:rsid w:val="00EB3E16"/>
    <w:rsid w:val="00EC00A2"/>
    <w:rsid w:val="00EF5489"/>
    <w:rsid w:val="00F1658F"/>
    <w:rsid w:val="00F22BB9"/>
    <w:rsid w:val="00F64E4D"/>
    <w:rsid w:val="00F8403C"/>
    <w:rsid w:val="00FB15D4"/>
    <w:rsid w:val="00FC68F8"/>
    <w:rsid w:val="00FD0E3D"/>
    <w:rsid w:val="00FD1791"/>
    <w:rsid w:val="00FF2D72"/>
    <w:rsid w:val="00FF36B2"/>
    <w:rsid w:val="00FF6176"/>
    <w:rsid w:val="0BE90EC4"/>
    <w:rsid w:val="2CE7D192"/>
    <w:rsid w:val="33948221"/>
    <w:rsid w:val="41DFACF9"/>
    <w:rsid w:val="675128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76ABF"/>
  <w15:chartTrackingRefBased/>
  <w15:docId w15:val="{C57F945D-CF1E-4F29-BAC5-98A91CB5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F8403C"/>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F8403C"/>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semiHidden/>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semiHidden/>
    <w:rsid w:val="007862C8"/>
    <w:rPr>
      <w:sz w:val="20"/>
      <w:szCs w:val="20"/>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qFormat/>
    <w:locked/>
    <w:rsid w:val="00FF2D72"/>
  </w:style>
  <w:style w:type="paragraph" w:styleId="CommentSubject">
    <w:name w:val="annotation subject"/>
    <w:basedOn w:val="CommentText"/>
    <w:next w:val="CommentText"/>
    <w:link w:val="CommentSubjectChar"/>
    <w:uiPriority w:val="99"/>
    <w:semiHidden/>
    <w:unhideWhenUsed/>
    <w:rsid w:val="00156C49"/>
    <w:rPr>
      <w:b/>
      <w:bCs/>
    </w:rPr>
  </w:style>
  <w:style w:type="character" w:customStyle="1" w:styleId="CommentSubjectChar">
    <w:name w:val="Comment Subject Char"/>
    <w:basedOn w:val="CommentTextChar"/>
    <w:link w:val="CommentSubject"/>
    <w:uiPriority w:val="99"/>
    <w:semiHidden/>
    <w:rsid w:val="00156C49"/>
    <w:rPr>
      <w:b/>
      <w:bCs/>
      <w:sz w:val="20"/>
      <w:szCs w:val="20"/>
    </w:rPr>
  </w:style>
  <w:style w:type="character" w:styleId="UnresolvedMention">
    <w:name w:val="Unresolved Mention"/>
    <w:basedOn w:val="DefaultParagraphFont"/>
    <w:uiPriority w:val="99"/>
    <w:semiHidden/>
    <w:unhideWhenUsed/>
    <w:rsid w:val="00AD7972"/>
    <w:rPr>
      <w:color w:val="605E5C"/>
      <w:shd w:val="clear" w:color="auto" w:fill="E1DFDD"/>
    </w:rPr>
  </w:style>
  <w:style w:type="paragraph" w:styleId="Revision">
    <w:name w:val="Revision"/>
    <w:hidden/>
    <w:uiPriority w:val="99"/>
    <w:semiHidden/>
    <w:rsid w:val="00EB3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9841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converlens.com/climate-au/aeer/survey"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https://www.energy.gov.au/aeer"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ttps://www.energy.gov.au/government-priorities/energy-workforce/australian-energy-employment-report"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AEER@industry.gov.a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C6A5853A54830868E2A339CA428E6"/>
        <w:category>
          <w:name w:val="General"/>
          <w:gallery w:val="placeholder"/>
        </w:category>
        <w:types>
          <w:type w:val="bbPlcHdr"/>
        </w:types>
        <w:behaviors>
          <w:behavior w:val="content"/>
        </w:behaviors>
        <w:guid w:val="{B1404603-C1BA-4048-B1AB-69E691EA1574}"/>
      </w:docPartPr>
      <w:docPartBody>
        <w:p w:rsidR="0015233C" w:rsidRDefault="0015233C">
          <w:pPr>
            <w:pStyle w:val="283C6A5853A54830868E2A339CA428E6"/>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3C"/>
    <w:rsid w:val="0015233C"/>
    <w:rsid w:val="002C72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3C6A5853A54830868E2A339CA428E6">
    <w:name w:val="283C6A5853A54830868E2A339CA42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 xsi:nil="true"/>
    <TaxCatchAll xmlns="a36bd50b-1532-4c22-b385-5c082c960938">
      <Value>3958</Value>
      <Value>282</Value>
      <Value>2117</Value>
      <Value>139</Value>
      <Value>1</Value>
      <Value>3417</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Australian Energy Employment Report</TermName>
          <TermId xmlns="http://schemas.microsoft.com/office/infopath/2007/PartnerControls">e4c06ddc-7d6e-4d4b-835f-a08557435041</TermId>
        </TermInfo>
      </Terms>
    </adb9bed2e36e4a93af574aeb444da63e>
    <_dlc_DocId xmlns="a36bd50b-1532-4c22-b385-5c082c960938">SEF43VY7DDAF-1771334068-4704</_dlc_DocId>
    <_dlc_DocIdUrl xmlns="a36bd50b-1532-4c22-b385-5c082c960938">
      <Url>https://dochub/div/corporate/businessfunctions/communications/externalcomms/_layouts/15/DocIdRedir.aspx?ID=SEF43VY7DDAF-1771334068-4704</Url>
      <Description>SEF43VY7DDAF-1771334068-4704</Description>
    </_dlc_DocIdUrl>
    <h217135741a1471bb3981487c1ba4978 xmlns="d92934b5-032c-4da3-958e-788fdb9771c1">
      <Terms xmlns="http://schemas.microsoft.com/office/infopath/2007/PartnerControls">
        <TermInfo xmlns="http://schemas.microsoft.com/office/infopath/2007/PartnerControls">
          <TermName xmlns="http://schemas.microsoft.com/office/infopath/2007/PartnerControls">Australian Energy ＆ Employment Report (AEER)</TermName>
          <TermId xmlns="http://schemas.microsoft.com/office/infopath/2007/PartnerControls">e47fe93a-9495-4ae9-b291-02e60641b11b</TermId>
        </TermInfo>
      </Terms>
    </h217135741a1471bb3981487c1ba497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32366206e3373531aa5360bf413a6c04">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0611d34b2244af846bde4b766f7b0865"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h217135741a1471bb3981487c1ba4978"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h217135741a1471bb3981487c1ba4978" ma:index="24" nillable="true" ma:taxonomy="true" ma:internalName="h217135741a1471bb3981487c1ba4978" ma:taxonomyFieldName="DocHub_EnergyJobsSkillsWorkTopics" ma:displayName="Work Topic" ma:indexed="true" ma:default="" ma:fieldId="{12171357-41a1-471b-b398-1487c1ba4978}" ma:sspId="fb0313f7-9433-48c0-866e-9e0bbee59a50" ma:termSetId="3554c313-7564-40b2-a93a-ff7ce9fc91a2"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FBCB7-B5E6-427B-BFFB-22463332E4B3}">
  <ds:schemaRefs>
    <ds:schemaRef ds:uri="http://schemas.microsoft.com/sharepoint/events"/>
  </ds:schemaRefs>
</ds:datastoreItem>
</file>

<file path=customXml/itemProps2.xml><?xml version="1.0" encoding="utf-8"?>
<ds:datastoreItem xmlns:ds="http://schemas.openxmlformats.org/officeDocument/2006/customXml" ds:itemID="{BBEB25D9-C964-440C-AAC2-4BADEE8478A3}">
  <ds:schemaRefs>
    <ds:schemaRef ds:uri="http://schemas.openxmlformats.org/officeDocument/2006/bibliography"/>
  </ds:schemaRefs>
</ds:datastoreItem>
</file>

<file path=customXml/itemProps3.xml><?xml version="1.0" encoding="utf-8"?>
<ds:datastoreItem xmlns:ds="http://schemas.openxmlformats.org/officeDocument/2006/customXml" ds:itemID="{5FABE431-A876-4312-84FC-1775603F8E91}">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a36bd50b-1532-4c22-b385-5c082c960938"/>
    <ds:schemaRef ds:uri="d92934b5-032c-4da3-958e-788fdb9771c1"/>
  </ds:schemaRefs>
</ds:datastoreItem>
</file>

<file path=customXml/itemProps4.xml><?xml version="1.0" encoding="utf-8"?>
<ds:datastoreItem xmlns:ds="http://schemas.openxmlformats.org/officeDocument/2006/customXml" ds:itemID="{4403693A-E5D7-43C1-A801-521ADE76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79002-4718-4C05-B310-272071C80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Australian Energy Employment Report</vt:lpstr>
    </vt:vector>
  </TitlesOfParts>
  <Manager/>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Energy Employment Report</dc:title>
  <dc:subject/>
  <dc:creator>Berryman, Rebecca</dc:creator>
  <cp:keywords/>
  <dc:description/>
  <cp:lastModifiedBy>Mongan, Fleur</cp:lastModifiedBy>
  <cp:revision>2</cp:revision>
  <dcterms:created xsi:type="dcterms:W3CDTF">2023-01-29T23:35:00Z</dcterms:created>
  <dcterms:modified xsi:type="dcterms:W3CDTF">2023-01-29T23:35:00Z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_dlc_DocIdItemGuid">
    <vt:lpwstr>13bbf5bc-d5b9-4e30-8695-bb9a7d9bd5da</vt:lpwstr>
  </property>
  <property fmtid="{D5CDD505-2E9C-101B-9397-08002B2CF9AE}" pid="12" name="DocHub_Year">
    <vt:lpwstr>2117;#2022|4a777a70-2aa9-481e-a746-cca47d761c8e</vt:lpwstr>
  </property>
  <property fmtid="{D5CDD505-2E9C-101B-9397-08002B2CF9AE}" pid="13" name="DocHub_DocumentType">
    <vt:lpwstr>139;#Guide|a4ca7698-9492-435d-8c80-0e92d5f30f1b</vt:lpwstr>
  </property>
  <property fmtid="{D5CDD505-2E9C-101B-9397-08002B2CF9AE}" pid="14" name="DocHub_SecurityClassification">
    <vt:lpwstr>1;#OFFICIAL|6106d03b-a1a0-4e30-9d91-d5e9fb4314f9</vt:lpwstr>
  </property>
  <property fmtid="{D5CDD505-2E9C-101B-9397-08002B2CF9AE}" pid="15" name="DocHub_DepartmentalDivisions">
    <vt:lpwstr/>
  </property>
  <property fmtid="{D5CDD505-2E9C-101B-9397-08002B2CF9AE}" pid="16" name="DocHub_Keywords">
    <vt:lpwstr>3958;#Australian Energy Employment Report|e4c06ddc-7d6e-4d4b-835f-a08557435041</vt:lpwstr>
  </property>
  <property fmtid="{D5CDD505-2E9C-101B-9397-08002B2CF9AE}" pid="17" name="DocHub_WorkActivity">
    <vt:lpwstr>282;#Communication|cd41d649-1e1a-44f5-b99b-946d42ce56d6</vt:lpwstr>
  </property>
  <property fmtid="{D5CDD505-2E9C-101B-9397-08002B2CF9AE}" pid="18" name="DocHub_EnergyJobsSkillsWorkTopics">
    <vt:lpwstr>3417;#Australian Energy ＆ Employment Report (AEER)|e47fe93a-9495-4ae9-b291-02e60641b11b</vt:lpwstr>
  </property>
</Properties>
</file>